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</w:pPr>
          </w:p>
        </w:tc>
      </w:tr>
    </w:tbl>
    <w:p>
      <w:pPr>
        <w:spacing w:before="2000"/>
      </w:pPr>
    </w:p>
    <w:p>
      <w:pPr>
        <w:spacing w:after="6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67D4B" w:sz="6" w:space="1"/>
        </w:pBdr>
        <w:spacing w:after="400"/>
        <w:ind w:left="3600" w:right="3600"/>
        <w:jc w:val="center"/>
      </w:pPr>
    </w:p>
    <w:p>
      <w:pPr>
        <w:spacing w:after="200"/>
        <w:jc w:val="center"/>
      </w:pPr>
      <w:r>
        <w:rPr>
          <w:rFonts w:ascii="Open Sans" w:cs="Open Sans" w:eastAsia="Open Sans" w:hAnsi="Open Sans"/>
          <w:b/>
          <w:bCs/>
          <w:color w:val="1A1A2E"/>
          <w:sz w:val="56"/>
          <w:szCs w:val="56"/>
        </w:rPr>
        <w:t xml:space="preserve">Quarterly Business Review</w:t>
      </w:r>
    </w:p>
    <w:p>
      <w:pPr>
        <w:spacing w:after="100"/>
        <w:jc w:val="center"/>
      </w:pPr>
      <w:r>
        <w:rPr>
          <w:rFonts w:ascii="Open Sans" w:cs="Open Sans" w:eastAsia="Open Sans" w:hAnsi="Open Sans"/>
          <w:color w:val="59595B"/>
          <w:sz w:val="28"/>
          <w:szCs w:val="28"/>
        </w:rPr>
        <w:t xml:space="preserve">Prepared for </w:t>
      </w: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[Client Name]</w:t>
      </w:r>
    </w:p>
    <w:p>
      <w:pPr>
        <w:spacing w:after="2000"/>
        <w:jc w:val="center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[Quarter] [Year]</w:t>
      </w:r>
    </w:p>
    <w:p>
      <w:pPr>
        <w:jc w:val="center"/>
      </w:pPr>
      <w:r>
        <w:rPr>
          <w:rFonts w:ascii="Open Sans" w:cs="Open Sans" w:eastAsia="Open Sans" w:hAnsi="Open Sans"/>
          <w:color w:val="59595B"/>
          <w:spacing w:val="200"/>
          <w:sz w:val="18"/>
          <w:szCs w:val="18"/>
        </w:rPr>
        <w:t xml:space="preserve">CONFIDENTIAL</w:t>
      </w:r>
    </w:p>
    <w:p>
      <w:pPr>
        <w:spacing w:before="400"/>
      </w:pPr>
    </w:p>
    <w:p>
      <w:pPr>
        <w:jc w:val="center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Technijian  |  18 Technology Dr., Ste 141, Irvine, CA 92618  |  949.379.8500  |  technijian.com</w:t>
      </w:r>
    </w:p>
    <w:p>
      <w:pPr>
        <w:spacing w:before="20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30"/>
            </w:pP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Executive Summary</w:t>
            </w:r>
          </w:p>
        </w:tc>
      </w:tr>
    </w:tbl>
    <w:p>
      <w:pPr>
        <w:spacing w:after="120" w:before="200"/>
      </w:pPr>
      <w:r>
        <w:rPr>
          <w:color w:val="59595B"/>
          <w:sz w:val="22"/>
          <w:szCs w:val="22"/>
        </w:rPr>
        <w:t xml:space="preserve">This Quarterly Business Review covers the performance of Technijian’s managed IT services for [Client Name] during [Quarter] [Year].</w:t>
      </w:r>
    </w:p>
    <w:p>
      <w:pPr>
        <w:spacing w:after="120" w:before="240"/>
      </w:pPr>
      <w:r>
        <w:rPr>
          <w:rFonts w:ascii="Open Sans" w:cs="Open Sans" w:eastAsia="Open Sans" w:hAnsi="Open Sans"/>
          <w:b/>
          <w:bCs/>
          <w:color w:val="1A1A2E"/>
          <w:sz w:val="24"/>
          <w:szCs w:val="24"/>
        </w:rPr>
        <w:t xml:space="preserve">Key Performance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52"/>
                <w:szCs w:val="52"/>
              </w:rPr>
              <w:t xml:space="preserve">[XX.X]%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SYSTEM UPTIME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52"/>
                <w:szCs w:val="52"/>
              </w:rPr>
              <w:t xml:space="preserve">[XXX]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TICKETS RESOLVED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52"/>
                <w:szCs w:val="52"/>
              </w:rPr>
              <w:t xml:space="preserve">[XX]min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AVG RESPONSE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52"/>
                <w:szCs w:val="52"/>
              </w:rPr>
              <w:t xml:space="preserve">[XX]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THREATS BLOCKED</w:t>
            </w:r>
          </w:p>
        </w:tc>
      </w:tr>
    </w:tbl>
    <w:p>
      <w:pPr>
        <w:spacing w:after="100" w:before="200"/>
      </w:pPr>
      <w:r>
        <w:rPr>
          <w:color w:val="59595B"/>
          <w:sz w:val="22"/>
          <w:szCs w:val="22"/>
        </w:rPr>
        <w:t xml:space="preserve">Summary highlights: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Overall system uptime of [XX.X]% against a [XX.X]% SLA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[XXX] support tickets resolved with an average response time of [XX]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[XX] security threats blocked and [XX] critical patches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[List any major projects or milestones completed]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Service Performance</w:t>
            </w:r>
          </w:p>
        </w:tc>
      </w:tr>
    </w:tbl>
    <w:p>
      <w:pPr>
        <w:spacing w:after="160" w:before="200"/>
      </w:pPr>
      <w:r>
        <w:rPr>
          <w:color w:val="59595B"/>
          <w:sz w:val="22"/>
          <w:szCs w:val="22"/>
        </w:rPr>
        <w:t xml:space="preserve">The following metrics summarize service delivery during the reporting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SLA Target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99.9%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[XX.X]%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Avg Response (Critical)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 min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Avg Response (High)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 min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Avg Resolution (Medium)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24 hours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 hours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Tickets Resolved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95%+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Ticket Analysis</w:t>
            </w:r>
          </w:p>
        </w:tc>
      </w:tr>
    </w:tbl>
    <w:p>
      <w:pPr>
        <w:spacing w:after="160" w:before="200"/>
      </w:pPr>
      <w:r>
        <w:rPr>
          <w:color w:val="59595B"/>
          <w:sz w:val="22"/>
          <w:szCs w:val="22"/>
        </w:rPr>
        <w:t xml:space="preserve">Support tickets broken down by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720"/>
        <w:gridCol w:w="1720"/>
      </w:tblGrid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Avg Resolution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Desktop Support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[X] hours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↓ Down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Network/Connectivity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[X] hours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→ Flat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Email/Microsoft 365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[X] hours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↓ Down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 Incidents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[X] hours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↑ Up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Other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</w:t>
            </w:r>
          </w:p>
        </w:tc>
        <w:tc>
          <w:tcPr>
            <w:tcW w:type="dxa" w:w="1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[XX]%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[X] hours</w:t>
            </w:r>
          </w:p>
        </w:tc>
        <w:tc>
          <w:tcPr>
            <w:tcW w:type="dxa" w:w="17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→ Flat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Security Overview</w:t>
            </w:r>
          </w:p>
        </w:tc>
      </w:tr>
    </w:tbl>
    <w:p>
      <w:pPr>
        <w:spacing w:after="120" w:before="200"/>
      </w:pPr>
      <w:r>
        <w:rPr>
          <w:color w:val="59595B"/>
          <w:sz w:val="22"/>
          <w:szCs w:val="22"/>
        </w:rPr>
        <w:t xml:space="preserve">Security posture summary for the reporting period: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AAC8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pacing w:val="100"/>
                <w:sz w:val="18"/>
                <w:szCs w:val="18"/>
              </w:rPr>
              <w:t xml:space="preserve">SECURITY DASHBOARD</w:t>
            </w:r>
          </w:p>
          <w:p>
            <w:pPr>
              <w:spacing w:after="40"/>
            </w:pPr>
            <w:r>
              <w:rPr>
                <w:color w:val="1EAAC8"/>
                <w:sz w:val="20"/>
                <w:szCs w:val="20"/>
              </w:rPr>
              <w:t xml:space="preserve">•  </w:t>
            </w:r>
            <w:r>
              <w:rPr>
                <w:color w:val="59595B"/>
                <w:sz w:val="20"/>
                <w:szCs w:val="20"/>
              </w:rPr>
              <w:t xml:space="preserve">Threats blocked by CrowdStrike: [XXX]</w:t>
            </w:r>
          </w:p>
          <w:p>
            <w:pPr>
              <w:spacing w:after="40"/>
            </w:pPr>
            <w:r>
              <w:rPr>
                <w:color w:val="1EAAC8"/>
                <w:sz w:val="20"/>
                <w:szCs w:val="20"/>
              </w:rPr>
              <w:t xml:space="preserve">•  </w:t>
            </w:r>
            <w:r>
              <w:rPr>
                <w:color w:val="59595B"/>
                <w:sz w:val="20"/>
                <w:szCs w:val="20"/>
              </w:rPr>
              <w:t xml:space="preserve">Phishing emails intercepted: [XXX]</w:t>
            </w:r>
          </w:p>
          <w:p>
            <w:pPr>
              <w:spacing w:after="40"/>
            </w:pPr>
            <w:r>
              <w:rPr>
                <w:color w:val="1EAAC8"/>
                <w:sz w:val="20"/>
                <w:szCs w:val="20"/>
              </w:rPr>
              <w:t xml:space="preserve">•  </w:t>
            </w:r>
            <w:r>
              <w:rPr>
                <w:color w:val="59595B"/>
                <w:sz w:val="20"/>
                <w:szCs w:val="20"/>
              </w:rPr>
              <w:t xml:space="preserve">Security patches deployed: [XX]</w:t>
            </w:r>
          </w:p>
          <w:p>
            <w:pPr>
              <w:spacing w:after="40"/>
            </w:pPr>
            <w:r>
              <w:rPr>
                <w:color w:val="1EAAC8"/>
                <w:sz w:val="20"/>
                <w:szCs w:val="20"/>
              </w:rPr>
              <w:t xml:space="preserve">•  </w:t>
            </w:r>
            <w:r>
              <w:rPr>
                <w:color w:val="59595B"/>
                <w:sz w:val="20"/>
                <w:szCs w:val="20"/>
              </w:rPr>
              <w:t xml:space="preserve">Vulnerability scans completed: [X]</w:t>
            </w:r>
          </w:p>
          <w:p>
            <w:pPr>
              <w:spacing w:after="40"/>
            </w:pPr>
            <w:r>
              <w:rPr>
                <w:color w:val="1EAAC8"/>
                <w:sz w:val="20"/>
                <w:szCs w:val="20"/>
              </w:rPr>
              <w:t xml:space="preserve">•  </w:t>
            </w:r>
            <w:r>
              <w:rPr>
                <w:color w:val="59595B"/>
                <w:sz w:val="20"/>
                <w:szCs w:val="20"/>
              </w:rPr>
              <w:t xml:space="preserve">Security incidents requiring response: [X]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Projects Completed</w:t>
            </w:r>
          </w:p>
        </w:tc>
      </w:tr>
    </w:tbl>
    <w:p>
      <w:pPr>
        <w:spacing w:after="160" w:before="200"/>
      </w:pPr>
      <w:r>
        <w:rPr>
          <w:color w:val="59595B"/>
          <w:sz w:val="22"/>
          <w:szCs w:val="22"/>
        </w:rPr>
        <w:t xml:space="preserve">Projects delivered during this quarter: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[Brief description of project scope and outcome]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[Brief description of project scope and outcome]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[Brief description of project scope and outcome]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Recommendations</w:t>
            </w:r>
          </w:p>
        </w:tc>
      </w:tr>
    </w:tbl>
    <w:p>
      <w:pPr>
        <w:spacing w:after="100" w:before="200"/>
      </w:pPr>
      <w:r>
        <w:rPr>
          <w:color w:val="59595B"/>
          <w:sz w:val="22"/>
          <w:szCs w:val="22"/>
        </w:rPr>
        <w:t xml:space="preserve">Based on this quarter’s data, we recommend the following: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9595B"/>
          <w:sz w:val="22"/>
          <w:szCs w:val="22"/>
        </w:rPr>
        <w:t xml:space="preserve">[Recommendation 1 — specific action and expected benefit]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9595B"/>
          <w:sz w:val="22"/>
          <w:szCs w:val="22"/>
        </w:rPr>
        <w:t xml:space="preserve">[Recommendation 2 — specific action and expected benefit]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9595B"/>
          <w:sz w:val="22"/>
          <w:szCs w:val="22"/>
        </w:rPr>
        <w:t xml:space="preserve">[Recommendation 3 — specific action and expected benefit]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Next Quarter Outlook</w:t>
            </w:r>
          </w:p>
        </w:tc>
      </w:tr>
    </w:tbl>
    <w:p>
      <w:pPr>
        <w:spacing w:after="100" w:before="200"/>
      </w:pPr>
      <w:r>
        <w:rPr>
          <w:color w:val="59595B"/>
          <w:sz w:val="22"/>
          <w:szCs w:val="22"/>
        </w:rPr>
        <w:t xml:space="preserve">Planned work and strategic initiatives: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[Planned initiative or project]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[Upcoming renewal or license review]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[Strategic technology improvement]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8"/>
                <w:szCs w:val="28"/>
              </w:rPr>
              <w:t xml:space="preserve">Questions about this report?</w:t>
            </w:r>
          </w:p>
        </w:tc>
      </w:tr>
    </w:tbl>
    <w:p>
      <w:pPr>
        <w:spacing w:before="120"/>
      </w:pPr>
      <w:r>
        <w:rPr>
          <w:color w:val="59595B"/>
          <w:sz w:val="22"/>
          <w:szCs w:val="22"/>
        </w:rPr>
        <w:t xml:space="preserve">Contact your Technijian account team at </w:t>
      </w:r>
      <w:r>
        <w:rPr>
          <w:b/>
          <w:bCs/>
          <w:color w:val="006DB6"/>
          <w:sz w:val="22"/>
          <w:szCs w:val="22"/>
        </w:rPr>
        <w:t xml:space="preserve">949.379.8500</w:t>
      </w:r>
      <w:r>
        <w:rPr>
          <w:color w:val="59595B"/>
          <w:sz w:val="22"/>
          <w:szCs w:val="22"/>
        </w:rPr>
        <w:t xml:space="preserve"> or visit </w:t>
      </w:r>
      <w:r>
        <w:rPr>
          <w:color w:val="006DB6"/>
          <w:sz w:val="22"/>
          <w:szCs w:val="22"/>
        </w:rPr>
        <w:t xml:space="preserve">technijian.com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949.379.8500  |  technijian.com    —  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524000" cy="3143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pen Sans" w:cs="Open Sans" w:eastAsia="Open Sans" w:hAnsi="Open Sans"/>
      <w:b/>
      <w:bCs/>
      <w:color w:val="006D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Open Sans" w:cs="Open Sans" w:eastAsia="Open Sans" w:hAnsi="Open Sans"/>
      <w:b/>
      <w:bCs/>
      <w:color w:val="006D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2026-03-07T20:05:24.854Z</dcterms:created>
  <dcterms:modified xsi:type="dcterms:W3CDTF">2026-03-07T20:05:24.856Z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