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</w:tbl>
    <w:p>
      <w:pPr>
        <w:spacing w:before="1800"/>
      </w:pPr>
    </w:p>
    <w:p>
      <w:pPr>
        <w:spacing w:after="300"/>
        <w:jc w:val="center"/>
      </w:pPr>
      <w:r>
        <w:drawing>
          <wp:inline distT="0" distB="0" distL="0" distR="0">
            <wp:extent cx="2667000" cy="552450"/>
            <wp:effectExtent t="0" r="0" b="0" l="0"/>
            <wp:docPr id="1" name="logo" descr="Logo" title="Technij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2800"/>
        <w:gridCol w:w="3280"/>
      </w:tblGrid>
      <w:tr>
        <w:tc>
          <w:tcPr>
            <w:tcW w:type="dxa" w:w="3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F67D4B" w:sz="6" w:space="0"/>
              </w:pBdr>
            </w:pPr>
          </w:p>
        </w:tc>
        <w:tc>
          <w:tcPr>
            <w:tcW w:type="dxa" w:w="328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before="400"/>
        <w:jc w:val="center"/>
      </w:pPr>
      <w:r>
        <w:rPr>
          <w:rFonts w:ascii="Open Sans" w:cs="Open Sans" w:eastAsia="Open Sans" w:hAnsi="Open Sans"/>
          <w:b/>
          <w:bCs/>
          <w:color w:val="1A1A2E"/>
          <w:sz w:val="52"/>
          <w:szCs w:val="52"/>
        </w:rPr>
        <w:t xml:space="preserve">Service Level Agreement</w:t>
      </w:r>
    </w:p>
    <w:p>
      <w:pPr>
        <w:spacing w:before="200"/>
        <w:jc w:val="center"/>
      </w:pPr>
      <w:r>
        <w:rPr>
          <w:rFonts w:ascii="Open Sans" w:cs="Open Sans" w:eastAsia="Open Sans" w:hAnsi="Open Sans"/>
          <w:color w:val="59595B"/>
          <w:sz w:val="26"/>
          <w:szCs w:val="26"/>
        </w:rPr>
        <w:t xml:space="preserve">Managed IT Services for [Client Name]</w:t>
      </w:r>
    </w:p>
    <w:p>
      <w:pPr>
        <w:spacing w:before="100"/>
        <w:jc w:val="center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Effective Date: [Month Day, Year]</w:t>
      </w:r>
    </w:p>
    <w:p>
      <w:pPr>
        <w:spacing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67D4B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</w:tbl>
    <w:p>
      <w:pPr>
        <w:spacing w:before="120"/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CONFIDENTIAL — For authorized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This Service Level Agreement (“SLA”) is an exhibit to the Master Services Agreement dated [MSA Date] between Technijian (“Provider”) and [Client Name] (“Client”). It defines the service levels, metrics, and remedies for the managed IT services described herein.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4"/>
                <w:szCs w:val="44"/>
              </w:rPr>
              <w:t xml:space="preserve">99.9%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Uptime Target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4"/>
                <w:szCs w:val="44"/>
              </w:rPr>
              <w:t xml:space="preserve">15 min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Critical Response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4"/>
                <w:szCs w:val="44"/>
              </w:rPr>
              <w:t xml:space="preserve">24/7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Support Hours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4"/>
                <w:szCs w:val="44"/>
              </w:rPr>
              <w:t xml:space="preserve">4 hr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Critical Resolution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1. SERVICE DESCRIPTION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This SLA covers the following managed IT services provided by Technijian: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24/7 infrastructure monitoring and alerting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Desktop, laptop, and server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Network management and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CrowdStrike endpoint protection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Microsoft 365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Backup and disaster recovery monitoring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2. SERVICE AVAILABILITY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Provider commits to maintaining [99.9]% uptime for monitored systems on a monthly basis. Uptime is measured from Provider’s monitoring platform and excludes scheduled maintenance windows, force majeure events, and downtime caused by Client actions.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3. RESPONSE &amp; RESOLUTION TIMES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60"/>
        <w:gridCol w:w="2250"/>
        <w:gridCol w:w="2250"/>
      </w:tblGrid>
      <w:tr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225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 Target</w:t>
            </w:r>
          </w:p>
        </w:tc>
      </w:tr>
      <w:tr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0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B"/>
                <w:sz w:val="20"/>
                <w:szCs w:val="20"/>
              </w:rPr>
              <w:t xml:space="preserve">Business down / major system failure</w:t>
            </w:r>
          </w:p>
        </w:tc>
        <w:tc>
          <w:tcPr>
            <w:tcW w:type="dxa" w:w="225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25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67D4B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B"/>
                <w:sz w:val="20"/>
                <w:szCs w:val="20"/>
              </w:rPr>
              <w:t xml:space="preserve">Significant degradation of services</w:t>
            </w:r>
          </w:p>
        </w:tc>
        <w:tc>
          <w:tcPr>
            <w:tcW w:type="dxa" w:w="225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30 minutes</w:t>
            </w:r>
          </w:p>
        </w:tc>
        <w:tc>
          <w:tcPr>
            <w:tcW w:type="dxa" w:w="225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8 hours</w:t>
            </w:r>
          </w:p>
        </w:tc>
      </w:tr>
      <w:tr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AAC8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B"/>
                <w:sz w:val="20"/>
                <w:szCs w:val="20"/>
              </w:rPr>
              <w:t xml:space="preserve">Limited impact to business operations</w:t>
            </w:r>
          </w:p>
        </w:tc>
        <w:tc>
          <w:tcPr>
            <w:tcW w:type="dxa" w:w="225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2 hours</w:t>
            </w:r>
          </w:p>
        </w:tc>
        <w:tc>
          <w:tcPr>
            <w:tcW w:type="dxa" w:w="225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B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B"/>
                <w:sz w:val="20"/>
                <w:szCs w:val="20"/>
              </w:rPr>
              <w:t xml:space="preserve">Minor issue / information request</w:t>
            </w:r>
          </w:p>
        </w:tc>
        <w:tc>
          <w:tcPr>
            <w:tcW w:type="dxa" w:w="225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4 hours</w:t>
            </w:r>
          </w:p>
        </w:tc>
        <w:tc>
          <w:tcPr>
            <w:tcW w:type="dxa" w:w="225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48 hours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4. SUPPORT HOURS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Standard support: 24/7/365 via phone, email, and ticketing portal. After-hours support for Critical and High severity issues is included. Scheduled maintenance will be performed during agreed maintenance windows ([Saturdays 10 PM – 2 AM PT]) with [48] hours advance notice.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5. ESCALATION PROCEDURES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Level 1: Support Team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helpdesk@technijian.com / 949.379.8500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Level 2: Pod Lead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[Pod Lead Name] / [Direct Line]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If unresolved after 2 hours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Level 3: Director of Operations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[Director Name] / [Direct Line]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If unresolved after 4 hours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Level 4: Executive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Ravi Jain / rjain@technijian.com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If unresolved after 8 hours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6. SERVICE CREDITS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If Provider fails to meet the monthly uptime target, Client is eligible for service credits as follows: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Monthly Uptime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Service Credit</w:t>
            </w:r>
          </w:p>
        </w:tc>
      </w:tr>
      <w:tr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99.9% or above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No credit</w:t>
            </w:r>
          </w:p>
        </w:tc>
      </w:tr>
      <w:tr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99.0% – 99.89%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5% of monthly fees</w:t>
            </w:r>
          </w:p>
        </w:tc>
      </w:tr>
      <w:tr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95.0% – 98.99%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10% of monthly fees</w:t>
            </w:r>
          </w:p>
        </w:tc>
      </w:tr>
      <w:tr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Below 95.0%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25% of monthly fees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67D4B" w:sz="2"/>
              <w:left w:val="single" w:color="F67D4B" w:sz="6"/>
              <w:bottom w:val="single" w:color="F67D4B" w:sz="2"/>
              <w:right w:val="single" w:color="F67D4B" w:sz="2"/>
            </w:tcBorders>
            <w:shd w:fill="FE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Open Sans" w:cs="Open Sans" w:eastAsia="Open Sans" w:hAnsi="Open Sans"/>
                <w:color w:val="1A1A2E"/>
                <w:sz w:val="20"/>
                <w:szCs w:val="20"/>
              </w:rPr>
              <w:t xml:space="preserve">Service credits are Client’s sole and exclusive remedy for Provider’s failure to meet service levels. Credits are applied to the next invoice and do not exceed 25% of monthly fees. Client must request credits within [30] days of the service failure.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7. REPORTING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Provider will deliver the following reports: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Monthly Service Report — uptime, ticket volume, response times, resolution times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Quarterly Business Review — trends, recommendations, security posture,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Incident Reports — within [24] hours of any Critical severity incident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8. REVIEW &amp; AMENDMENT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This SLA will be reviewed annually by both parties. Amendments require written agreement signed by both parties. Provider may update service levels with [60] days written notice, provided the changes do not reduce the level of service below the minimums defined herein.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Questions? Contact us at 949.379.8500 or rjain@technijian.com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F" w:sz="1" w:space="6"/>
      </w:pBdr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| 18 Technology Dr., Ste 141, Irvine, CA 92618 | 949.379.8500  •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B6" w:sz="2" w:space="6"/>
      </w:pBdr>
      <w:spacing w:after="60"/>
    </w:pPr>
    <w:r>
      <w:drawing>
        <wp:inline distT="0" distB="0" distL="0" distR="0">
          <wp:extent cx="1333500" cy="276225"/>
          <wp:effectExtent t="0" r="0" b="0" l="0"/>
          <wp:docPr id="1" name="logo" descr="Logo" title="Techniji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a411e2cba4fb0a0de5b42d0cbf546939e758d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2026-03-07T20:21:07.391Z</dcterms:created>
  <dcterms:modified xsi:type="dcterms:W3CDTF">2026-03-07T20:21:07.392Z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