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DF8C" w14:textId="5F55ADB7" w:rsidR="001104A7" w:rsidRDefault="00000000">
      <w:pPr>
        <w:pStyle w:val="Heading1"/>
      </w:pPr>
      <w:r>
        <w:t>Third-Party Vendor Due Diligence Questionnaire (IT Service Provider)</w:t>
      </w:r>
    </w:p>
    <w:p w14:paraId="45FDE131" w14:textId="77777777" w:rsidR="00120AF3" w:rsidRDefault="00120AF3"/>
    <w:p w14:paraId="4B7FA87E" w14:textId="17B64190" w:rsidR="001104A7" w:rsidRDefault="00000000">
      <w:r>
        <w:t>Please answer all questions completely. Attach supporting documentation where requested.</w:t>
      </w:r>
    </w:p>
    <w:p w14:paraId="7B6FD12C" w14:textId="77777777" w:rsidR="001104A7" w:rsidRPr="00046D44" w:rsidRDefault="00000000" w:rsidP="008F03BC">
      <w:pPr>
        <w:pStyle w:val="Heading2"/>
        <w:rPr>
          <w:color w:val="auto"/>
        </w:rPr>
      </w:pPr>
      <w:r>
        <w:rPr>
          <w:color w:val="auto"/>
        </w:rPr>
        <w:t>Section 1 – Company Information</w:t>
      </w:r>
    </w:p>
    <w:p w14:paraId="0BB8784D" w14:textId="52017D64" w:rsidR="001104A7" w:rsidRDefault="00000000">
      <w:r>
        <w:t>Legal name of company:  Technijian Corporation</w:t>
      </w:r>
    </w:p>
    <w:p w14:paraId="3EEBEA6E" w14:textId="54E10C5F" w:rsidR="001104A7" w:rsidRDefault="00000000">
      <w:r>
        <w:t>Primary business address:  18 Technology Dr, Suite 141, Irvine, CA 92618</w:t>
      </w:r>
    </w:p>
    <w:p w14:paraId="7B8D4A3C" w14:textId="37FA55E9" w:rsidR="001104A7" w:rsidRDefault="00000000">
      <w:r>
        <w:t>Primary contact name, title, email, and phone number:  Ravi Jain, Founder &amp; CEO, rjain@technijian.com, (949) 379-8499 x201</w:t>
      </w:r>
    </w:p>
    <w:p w14:paraId="7665DC8D" w14:textId="4191BB36" w:rsidR="001104A7" w:rsidRDefault="00000000">
      <w:r>
        <w:t>Years in business providing IT services to regulated financial institutions:  25+ years (founded November 2000). Technijian has provided managed IT, cybersecurity, and compliance services to financial services firms, healthcare organizations, and other regulated industries throughout Orange County and Southern California.</w:t>
      </w:r>
    </w:p>
    <w:p w14:paraId="3CCAF7B2" w14:textId="2456E18D" w:rsidR="001104A7" w:rsidRDefault="00000000">
      <w:r>
        <w:t>Ownership structure (private, public, parent company):  Privately held. Technijian Corporation is a founder-owned, independent company with no parent entity or outside equity investors.</w:t>
      </w:r>
    </w:p>
    <w:p w14:paraId="518D45D9" w14:textId="07E12A55" w:rsidR="001104A7" w:rsidRDefault="00000000">
      <w:r>
        <w:t>List any subcontractors used and their roles:  Technijian maintains a small number of vetted subcontractors for specialized engagements such as advanced penetration testing, compliance auditing (SOC 2 Type II attestation), and overflow field support. All subcontractors are subject to the same background screening, NDA, and security requirements as Technijian employees. A current subcontractor list is available upon request.</w:t>
      </w:r>
    </w:p>
    <w:p w14:paraId="33BD7C09" w14:textId="77777777" w:rsidR="001104A7" w:rsidRPr="00046D44" w:rsidRDefault="00000000">
      <w:pPr>
        <w:pStyle w:val="Heading2"/>
        <w:rPr>
          <w:color w:val="auto"/>
        </w:rPr>
      </w:pPr>
      <w:r>
        <w:rPr>
          <w:color w:val="auto"/>
        </w:rPr>
        <w:t>Section 2 – Regulatory &amp; Compliance Experience</w:t>
      </w:r>
    </w:p>
    <w:p w14:paraId="074C35D2" w14:textId="7AFDC7A7" w:rsidR="001104A7" w:rsidRDefault="00000000">
      <w:r>
        <w:t>Describe experience supporting FINRA-registered Broker-Dealers:  Technijian provides managed IT and cybersecurity services to FINRA-registered broker-dealers and financial advisory firms across Orange County, including wealth management practices in Newport Beach and Irvine. Our services include implementing and maintaining cybersecurity programs aligned with FINRA’s annual regulatory priorities, email archiving and supervision infrastructure, endpoint protection, network segmentation, and data loss prevention controls consistent with broker-dealer regulatory requirements.</w:t>
      </w:r>
    </w:p>
    <w:p w14:paraId="11B976E2" w14:textId="7F9C3162" w:rsidR="001104A7" w:rsidRDefault="00000000">
      <w:r>
        <w:t>Describe experience with SEC Regulation S-P, Reg S-ID, and FTC Safeguards Rule:  Technijian assists clients with the technical controls required under these regulations, including: Reg S-P – implementation of administrative, technical, and physical safeguards to protect customer records and non-public personal information (NPI); written information security policies; access controls; and encryption. Reg S-ID – identity theft red-flag detection programs, including monitoring and alerting capabilities. FTC Safeguards Rule – risk assessments, access controls, encryption, multi-factor authentication, monitoring, incident response planning, and ongoing testing aligned with the amended 2023 requirements.</w:t>
      </w:r>
    </w:p>
    <w:p w14:paraId="13127B6B" w14:textId="20D5BEA7" w:rsidR="001104A7" w:rsidRDefault="00000000">
      <w:r>
        <w:t>Do you support Written Information Security Programs (WISP)? If yes, describe:  Yes. Technijian develops, maintains, and reviews Written Information Security Programs for clients in regulated industries. Our WISP development includes risk assessment, policy creation, technical control mapping, employee training requirements, incident response procedures, vendor management guidelines, and an annual review cycle. WISPs are tailored to each client’s regulatory environment (FINRA, SEC, HIPAA, PCI-DSS, CCPA) and organizational risk profile.</w:t>
      </w:r>
    </w:p>
    <w:p w14:paraId="47157E01" w14:textId="6D970244" w:rsidR="001104A7" w:rsidRDefault="00000000">
      <w:r>
        <w:t>Have you supported clients through FINRA or SEC examinations? If yes, describe scope:  Yes. Technijian has supported financial services clients during FINRA and SEC examination cycles by providing documentation of IT controls, cybersecurity program evidence, network architecture diagrams, access control reports, encryption attestations, incident response plan documentation, and business continuity/disaster recovery test results. We participate in pre-examination readiness assessments and serve as the technical point of contact during examiner information requests.</w:t>
      </w:r>
    </w:p>
    <w:p w14:paraId="1E8FC6CE" w14:textId="77777777" w:rsidR="001104A7" w:rsidRDefault="00000000">
      <w:r>
        <w:t>Do you maintain familiarity with FINRA cybersecurity guidance and notices?  Yes. Technijian actively monitors and incorporates FINRA’s annual Regulatory and Examination Priorities, cybersecurity-related Regulatory Notices, and guidance published through FINRA’s Report on Cybersecurity Practices. We also track SEC cybersecurity-related rulemaking and enforcement actions to ensure our clients’ IT environments remain aligned with evolving regulatory expectations, including the 2026 compliance deadlines for amended Reg S-P requirements.</w:t>
      </w:r>
    </w:p>
    <w:p w14:paraId="0CCA8988" w14:textId="77777777" w:rsidR="001104A7" w:rsidRPr="00046D44" w:rsidRDefault="00000000">
      <w:pPr>
        <w:pStyle w:val="Heading2"/>
        <w:rPr>
          <w:color w:val="auto"/>
        </w:rPr>
      </w:pPr>
      <w:r>
        <w:rPr>
          <w:color w:val="auto"/>
        </w:rPr>
        <w:t>Section 3 – Information Security Program</w:t>
      </w:r>
    </w:p>
    <w:p w14:paraId="510ADED4" w14:textId="6A6A7094" w:rsidR="001104A7" w:rsidRDefault="00000000">
      <w:r>
        <w:t>Do you maintain a formal Information Security Program? (Attach summary or policy):  Yes. Technijian maintains a formal Information Security Program aligned with NIST Cybersecurity Framework and SOC 2 Trust Services Criteria. The program encompasses risk management, access control, data protection, incident response, business continuity, vendor management, and employee security awareness training. A program summary is available upon request and can be attached under NDA.</w:t>
      </w:r>
    </w:p>
    <w:p w14:paraId="29133C3D" w14:textId="77777777" w:rsidR="001104A7" w:rsidRDefault="00000000">
      <w:r>
        <w:t>Is a designated security officer (CISO/vCISO) responsible for security oversight?  Yes. Technijian has designated security leadership responsible for information security program oversight, policy enforcement, risk management, incident response coordination, and compliance monitoring. Technijian also offers vCISO services to clients who require dedicated security officer functions for their own compliance obligations.</w:t>
      </w:r>
    </w:p>
    <w:p w14:paraId="61FAC61A" w14:textId="6122EDB0" w:rsidR="001104A7" w:rsidRDefault="00000000">
      <w:r>
        <w:t>Describe access control and least-privilege standards:  Technijian enforces least-privilege access across all client and internal environments. Controls include: role-based access control (RBAC) with documented role definitions; just-in-time privileged access for administrative tasks; quarterly access reviews and recertification; immediate access revocation upon role change or termination; network segmentation to isolate sensitive systems; and Active Directory/Azure AD group policy enforcement. All access grants require documented approval from authorized personnel.</w:t>
      </w:r>
    </w:p>
    <w:p w14:paraId="6C8EBA65" w14:textId="2D92B374" w:rsidR="001104A7" w:rsidRDefault="00000000">
      <w:r>
        <w:t>Describe encryption standards for data at rest and in transit:  Data in transit is protected using TLS 1.2 or higher for all communications, including email, web, VPN, and API traffic. Data at rest is encrypted using AES-256 on all managed endpoints, servers, and backup media. Full-disk encryption (BitLocker/FileVault) is enforced on all endpoints. Database encryption (TDE) is applied to SQL Server environments containing sensitive data. Encryption key management follows documented procedures with separation of duties.</w:t>
      </w:r>
    </w:p>
    <w:p w14:paraId="3A91A48F" w14:textId="15148B0F" w:rsidR="001104A7" w:rsidRDefault="00000000">
      <w:r>
        <w:lastRenderedPageBreak/>
        <w:t>Describe endpoint protection, EDR/MDR, and monitoring controls:  Technijian deploys CrowdStrike Falcon as the primary endpoint detection and response (EDR) platform across managed environments, providing real-time threat detection, behavioral analysis, and automated response capabilities. This is supplemented with 24/7 Security Operations Center (SOC) monitoring, SIEM-based log aggregation and correlation, automated alerting and escalation workflows, dark web monitoring for credential exposure, and regular vulnerability scanning. Managed Detection and Response (MDR) services ensure continuous threat hunting and expert-led incident investigation.</w:t>
      </w:r>
    </w:p>
    <w:p w14:paraId="0062E323" w14:textId="77777777" w:rsidR="001104A7" w:rsidRPr="00046D44" w:rsidRDefault="00000000">
      <w:pPr>
        <w:pStyle w:val="Heading2"/>
        <w:rPr>
          <w:color w:val="auto"/>
        </w:rPr>
      </w:pPr>
      <w:r>
        <w:rPr>
          <w:color w:val="auto"/>
        </w:rPr>
        <w:t>Section 4 – Incident Response &amp; Breach Management</w:t>
      </w:r>
    </w:p>
    <w:p w14:paraId="6CB05961" w14:textId="133C2EEE" w:rsidR="001104A7" w:rsidRDefault="00000000">
      <w:r>
        <w:t>Do you maintain a written Incident Response Plan? (Attach):  Yes. Technijian maintains a written Incident Response Plan (IRP) covering identification, containment, eradication, recovery, and post-incident review phases. The plan defines roles, escalation paths, communication procedures (internal and client-facing), evidence preservation requirements, and regulatory notification obligations. The IRP is reviewed and updated annually and tested through tabletop exercises. A copy can be provided under NDA.</w:t>
      </w:r>
    </w:p>
    <w:p w14:paraId="4461C9C3" w14:textId="04452A2C" w:rsidR="001104A7" w:rsidRDefault="00000000">
      <w:r>
        <w:t>Describe breach detection and escalation procedures:  Breach detection leverages automated SIEM alerting, EDR behavioral analysis, network anomaly detection, and dark web credential monitoring. Upon detection of a potential incident, our escalation procedures follow a tiered model: Tier 1 (SOC analyst) performs initial triage and classification within 15 minutes; Tier 2 (senior engineer) conducts investigation and containment within 1 hour; Tier 3 (security leadership and management) is engaged for confirmed breaches requiring client notification, legal coordination, or regulatory reporting. All escalation steps are logged and time-stamped.</w:t>
      </w:r>
    </w:p>
    <w:p w14:paraId="768618BA" w14:textId="1013E836" w:rsidR="001104A7" w:rsidRDefault="00000000">
      <w:r>
        <w:t>Client notification timeframe following a confirmed incident:  Technijian notifies affected clients within 24 hours of confirming a security incident that impacts or may impact the confidentiality, integrity, or availability of client data or systems. Initial notification includes a description of the incident, known scope, immediate containment actions taken, and next steps. Subsequent updates are provided at regular intervals until resolution. Notification timelines can be adjusted per contractual SLA requirements.</w:t>
      </w:r>
    </w:p>
    <w:p w14:paraId="116F7E13" w14:textId="75132A13" w:rsidR="001104A7" w:rsidRDefault="00000000">
      <w:r>
        <w:t>Have you experienced any security incidents in the last 24 months? If yes, explain:  No. Technijian has not experienced any material security incidents, data breaches, or unauthorized access events affecting client data or internal systems in the past 24 months.</w:t>
      </w:r>
    </w:p>
    <w:p w14:paraId="7D4464F5" w14:textId="77777777" w:rsidR="001104A7" w:rsidRDefault="00000000">
      <w:r>
        <w:t>Do you support forensic investigations and regulator requests?  Yes. Technijian supports forensic investigations by preserving evidence, providing system logs and access records, cooperating with third-party forensic examiners, and producing documentation requested by regulators. We maintain chain-of-custody procedures for digital evidence and can facilitate timely responses to regulatory information requests, including those under FINRA Rule 8210.</w:t>
      </w:r>
    </w:p>
    <w:p w14:paraId="43E204D6" w14:textId="77777777" w:rsidR="001104A7" w:rsidRPr="00046D44" w:rsidRDefault="00000000">
      <w:pPr>
        <w:pStyle w:val="Heading2"/>
        <w:rPr>
          <w:color w:val="auto"/>
        </w:rPr>
      </w:pPr>
      <w:r>
        <w:rPr>
          <w:color w:val="auto"/>
        </w:rPr>
        <w:t>Section 5 – Business Continuity &amp; Disaster Recovery</w:t>
      </w:r>
    </w:p>
    <w:p w14:paraId="50E06CEB" w14:textId="2E3F98C9" w:rsidR="001104A7" w:rsidRDefault="00000000">
      <w:r>
        <w:t>Do you maintain a Business Continuity and Disaster Recovery Plan? (Attach):  Yes. Technijian maintains a comprehensive Business Continuity and Disaster Recovery (BCP/DR) plan covering infrastructure, data, communications, and personnel. The plan addresses natural disasters, cyberattacks, equipment failure, and provider outages. A summary is available upon request.</w:t>
      </w:r>
    </w:p>
    <w:p w14:paraId="4CBF51C8" w14:textId="053BFF8C" w:rsidR="001104A7" w:rsidRDefault="00000000">
      <w:r>
        <w:t>Frequency of BCP/DR testing:  BCP/DR plans are tested at least semi-annually, including tabletop exercises and live failover/restoration drills. Additional testing is performed following significant infrastructure changes or after any incident that triggers plan activation.</w:t>
      </w:r>
    </w:p>
    <w:p w14:paraId="62B13A66" w14:textId="1E20A692" w:rsidR="001104A7" w:rsidRDefault="00000000">
      <w:r>
        <w:t>Maximum Recovery Time Objective (RTO):  Standard RTO is 4 hours for critical systems. RTO targets are configurable per client based on contractual SLA requirements and can range from 1 hour (high-availability configurations) to 24 hours (non-critical systems).</w:t>
      </w:r>
    </w:p>
    <w:p w14:paraId="441A459A" w14:textId="39C3BAFB" w:rsidR="001104A7" w:rsidRDefault="00000000">
      <w:r>
        <w:t>Maximum Recovery Point Objective (RPO):  Standard RPO is 1 hour for critical systems using continuous or near-continuous replication. RPO targets are configurable per client and can range from near-zero (real-time replication) to 24 hours depending on system criticality and backup architecture.</w:t>
      </w:r>
    </w:p>
    <w:p w14:paraId="3EED0A06" w14:textId="1AB000FE" w:rsidR="001104A7" w:rsidRDefault="00000000">
      <w:r>
        <w:t>Describe backup monitoring and restoration testing:  All backups are monitored 24/7 through automated systems that alert on failure, incomplete jobs, or missed schedules. Backup integrity is verified through automated checksum validation. Restoration testing is performed quarterly for critical systems, with full bare-metal recovery tests conducted semi-annually. Test results are documented and retained for audit purposes. Backup media is encrypted (AES-256) and stored in geographically separated locations.</w:t>
      </w:r>
    </w:p>
    <w:p w14:paraId="26A6634B" w14:textId="77777777" w:rsidR="001104A7" w:rsidRPr="00046D44" w:rsidRDefault="00000000">
      <w:pPr>
        <w:pStyle w:val="Heading2"/>
        <w:rPr>
          <w:color w:val="auto"/>
        </w:rPr>
      </w:pPr>
      <w:r>
        <w:rPr>
          <w:color w:val="auto"/>
        </w:rPr>
        <w:t>Section 6 – Data Handling &amp; Confidentiality</w:t>
      </w:r>
    </w:p>
    <w:p w14:paraId="583C094A" w14:textId="6C2F123A" w:rsidR="001104A7" w:rsidRDefault="00000000">
      <w:r>
        <w:t>Describe how customer data is accessed, stored, and protected:  Customer data is accessed only by authorized personnel through authenticated, encrypted connections (VPN/TLS 1.2+) with MFA enforced. Data is stored in encrypted environments (AES-256 at rest) with access governed by RBAC and least-privilege policies. All access is logged and auditable. Physical infrastructure is hosted in SOC 2-compliant data centers with environmental controls, redundant power, and physical access restrictions. Customer data handling procedures comply with applicable regulatory requirements (FINRA, SEC, HIPAA, PCI-DSS, CCPA).</w:t>
      </w:r>
    </w:p>
    <w:p w14:paraId="123D3BF2" w14:textId="77777777" w:rsidR="001104A7" w:rsidRDefault="00000000">
      <w:r>
        <w:t>Do you segregate client data environments?  Yes. Technijian maintains logical and, where required, physical segregation of client environments. Each client’s data is isolated through dedicated tenancies, network segmentation (VLANs/firewalls), separate database instances or schemas, and distinct access control policies. Cross-client data access is prohibited by policy and enforced through technical controls.</w:t>
      </w:r>
    </w:p>
    <w:p w14:paraId="52316125" w14:textId="47055AA1" w:rsidR="001104A7" w:rsidRDefault="00000000">
      <w:r>
        <w:t>Describe data retention and destruction procedures:  Data retention periods are defined per client contract and applicable regulatory requirements. Upon contract termination or expiration of retention periods, data is securely destroyed using NIST SP 800-88 compliant methods: cryptographic erasure for encrypted storage, secure overwrite (DoD 5220.22-M) for magnetic media, and physical destruction (shredding) for hardware being decommissioned. Certificates of destruction are provided upon request.</w:t>
      </w:r>
    </w:p>
    <w:p w14:paraId="4B68A50D" w14:textId="77777777" w:rsidR="001104A7" w:rsidRDefault="00000000">
      <w:r>
        <w:t>Do you agree to confidentiality and non-disclosure obligations consistent with FINRA Rule 3110?  Yes. Technijian agrees to confidentiality and non-disclosure obligations consistent with FINRA Rule 3110 supervisory requirements. We execute mutual NDAs with all clients and require all employees and subcontractors to sign individual confidentiality agreements. Technijian’s standard service agreements include confidentiality provisions that can be tailored to meet specific FINRA Rule 3110 obligations.</w:t>
      </w:r>
    </w:p>
    <w:p w14:paraId="0890D10C" w14:textId="77777777" w:rsidR="001104A7" w:rsidRPr="00046D44" w:rsidRDefault="00000000">
      <w:pPr>
        <w:pStyle w:val="Heading2"/>
        <w:rPr>
          <w:color w:val="auto"/>
        </w:rPr>
      </w:pPr>
      <w:r>
        <w:rPr>
          <w:color w:val="auto"/>
        </w:rPr>
        <w:t>Section 7 – Access &amp; Identity Management</w:t>
      </w:r>
    </w:p>
    <w:p w14:paraId="36B06D5C" w14:textId="50279140" w:rsidR="001104A7" w:rsidRDefault="00000000">
      <w:r>
        <w:t>Describe employee background screening procedures:  All Technijian employees undergo comprehensive pre-employment background checks, including criminal history, employment verification, education verification, and professional reference checks. Employees with access to financial services client environments may undergo additional screening as required by client contracts or regulatory standards. Background screening is conducted by a licensed third-party screening provider.</w:t>
      </w:r>
    </w:p>
    <w:p w14:paraId="29603E83" w14:textId="1A2C94C4" w:rsidR="001104A7" w:rsidRDefault="00000000">
      <w:r>
        <w:t>Describe MFA enforcement for administrative access:  Multi-factor authentication (MFA) is required for all administrative and privileged access, including: remote access (VPN), cloud management consoles (Azure/M365 Admin), RMM and PSA platforms, client network infrastructure, email and collaboration platforms, and internal systems containing sensitive data. MFA is enforced via hardware tokens, authenticator apps (TOTP), or FIDO2 security keys. SMS-based MFA is not permitted for administrative accounts.</w:t>
      </w:r>
    </w:p>
    <w:p w14:paraId="6C4AE421" w14:textId="19D2C939" w:rsidR="001104A7" w:rsidRDefault="00000000">
      <w:r>
        <w:t>Describe onboarding and termination access controls:  Onboarding: Access is provisioned based on documented role definitions following the least-privilege principle. New employee access requests require manager approval and are fulfilled through a standardized provisioning workflow. Security awareness training must be completed before access to client environments is granted. Termination: Access revocation is initiated immediately upon notification of separation. All accounts are disabled within 1 business hour of termination, with full deprovisioning (account deletion, credential rotation, recovery of company assets) completed within 24 hours. Termination checklists are documented and retained.</w:t>
      </w:r>
    </w:p>
    <w:p w14:paraId="101EBD34" w14:textId="77777777" w:rsidR="001104A7" w:rsidRDefault="00000000">
      <w:r>
        <w:t>Are privileged access activities logged and reviewed?  Yes. All privileged access activities are logged through SIEM and audit trail systems. Logs capture authentication events, administrative actions, configuration changes, and data access. Privileged access logs are reviewed on a regular cadence (weekly for high-risk systems, monthly for standard systems) and are retained for a minimum of one year. Anomalous activity triggers automated alerts for immediate investigation.</w:t>
      </w:r>
    </w:p>
    <w:p w14:paraId="064D2712" w14:textId="77777777" w:rsidR="001104A7" w:rsidRPr="00046D44" w:rsidRDefault="00000000">
      <w:pPr>
        <w:pStyle w:val="Heading2"/>
        <w:rPr>
          <w:color w:val="auto"/>
        </w:rPr>
      </w:pPr>
      <w:r>
        <w:rPr>
          <w:color w:val="auto"/>
        </w:rPr>
        <w:lastRenderedPageBreak/>
        <w:t>Section 8 – Insurance &amp; Financial Stability</w:t>
      </w:r>
    </w:p>
    <w:p w14:paraId="58E09356" w14:textId="7657030F" w:rsidR="001104A7" w:rsidRDefault="00000000">
      <w:r>
        <w:t>Do you maintain Cyber Liability Insurance? (Attach certificate):  Yes. Technijian maintains an active Cyber Liability Insurance policy. A certificate of insurance is available upon request.</w:t>
      </w:r>
    </w:p>
    <w:p w14:paraId="3A81341E" w14:textId="1852ADAD" w:rsidR="001104A7" w:rsidRDefault="00000000">
      <w:r>
        <w:t>Coverage limits:  Coverage limits and policy details are available upon request under NDA. Technijian’s coverage is reviewed annually to ensure alignment with industry standards and client contractual requirements.</w:t>
      </w:r>
    </w:p>
    <w:p w14:paraId="09B92FA1" w14:textId="77777777" w:rsidR="001104A7" w:rsidRDefault="00000000">
      <w:r>
        <w:t>Do you maintain Errors &amp; Omissions insurance?  Yes. Technijian maintains Errors &amp; Omissions (E&amp;O) / Professional Liability insurance. Certificate details available upon request.</w:t>
      </w:r>
    </w:p>
    <w:p w14:paraId="2064E6F7" w14:textId="77777777" w:rsidR="001104A7" w:rsidRDefault="00000000">
      <w:r>
        <w:t>Have you experienced material financial distress in the past 3 years?  No. Technijian has not experienced material financial distress, bankruptcy, restructuring, or significant adverse financial events in the past 3 years. The company has operated continuously and profitably since its founding in 2000.</w:t>
      </w:r>
    </w:p>
    <w:p w14:paraId="59FD6367" w14:textId="77777777" w:rsidR="001104A7" w:rsidRPr="00046D44" w:rsidRDefault="00000000">
      <w:pPr>
        <w:pStyle w:val="Heading2"/>
        <w:rPr>
          <w:color w:val="auto"/>
        </w:rPr>
      </w:pPr>
      <w:r>
        <w:rPr>
          <w:color w:val="auto"/>
        </w:rPr>
        <w:t>Section 9 – Audit, Oversight &amp; Right to Examine</w:t>
      </w:r>
    </w:p>
    <w:p w14:paraId="68DB3FCE" w14:textId="77777777" w:rsidR="001104A7" w:rsidRDefault="00000000">
      <w:r>
        <w:t>Do you permit client or regulator-requested audits related to services provided?  Yes. Technijian permits and cooperates with client-directed and regulator-requested audits related to services provided, subject to reasonable advance notice and scope definition. We provide access to relevant documentation, personnel, and systems necessary to complete audit activities. Audit rights can be formalized in the service agreement.</w:t>
      </w:r>
    </w:p>
    <w:p w14:paraId="3E2BB66D" w14:textId="6E107973" w:rsidR="001104A7" w:rsidRDefault="00000000">
      <w:r>
        <w:t>Do you maintain SOC 2, ISO 27001, or similar reports? (Attach if available):  Yes. Technijian maintains SOC 2 Type II compliance and can provide the most recent attestation report under NDA. Our security program is aligned with the NIST Cybersecurity Framework and SOC 2 Trust Services Criteria (Security, Availability, Confidentiality). We also support clients in achieving and maintaining their own SOC 2, HIPAA, PCI-DSS, and GDPR compliance requirements.</w:t>
      </w:r>
    </w:p>
    <w:p w14:paraId="2E023F5A" w14:textId="77777777" w:rsidR="001104A7" w:rsidRDefault="00000000">
      <w:r>
        <w:t>Do you support supervisory reviews and information requests under FINRA Rule 8210?  Yes. Technijian fully supports supervisory reviews and information requests under FINRA Rule 8210. We will produce books, records, correspondence, system logs, and other documentation within the timeframes specified by the regulator. Our team is experienced in facilitating timely, complete responses to regulatory information requests on behalf of our financial services clients.</w:t>
      </w:r>
    </w:p>
    <w:p w14:paraId="5E831A0C" w14:textId="70D5022E" w:rsidR="001104A7" w:rsidRDefault="001104A7"/>
    <w:sectPr w:rsidR="001104A7"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0B2E" w14:textId="77777777" w:rsidR="005909DD" w:rsidRDefault="005909DD" w:rsidP="00120AF3">
      <w:pPr>
        <w:spacing w:after="0" w:line="240" w:lineRule="auto"/>
      </w:pPr>
      <w:r>
        <w:separator/>
      </w:r>
    </w:p>
  </w:endnote>
  <w:endnote w:type="continuationSeparator" w:id="0">
    <w:p w14:paraId="5D7B6E72" w14:textId="77777777" w:rsidR="005909DD" w:rsidRDefault="005909DD" w:rsidP="00120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B48B" w14:textId="2C78A9CB" w:rsidR="002A02CA" w:rsidRPr="002A02CA" w:rsidRDefault="002A02CA" w:rsidP="002A02CA">
    <w:pPr>
      <w:pStyle w:val="Footer"/>
      <w:ind w:left="180" w:hangingChars="100" w:hanging="180"/>
      <w:jc w:val="right"/>
      <w:rPr>
        <w:sz w:val="18"/>
        <w:szCs w:val="18"/>
        <w:lang w:eastAsia="zh-CN"/>
      </w:rPr>
    </w:pPr>
    <w:r w:rsidRPr="00C7518F">
      <w:rPr>
        <w:sz w:val="18"/>
        <w:szCs w:val="18"/>
        <w:lang w:eastAsia="zh-CN"/>
      </w:rPr>
      <w:t>www.americanfundstars.com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F933" w14:textId="77777777" w:rsidR="005909DD" w:rsidRDefault="005909DD" w:rsidP="00120AF3">
      <w:pPr>
        <w:spacing w:after="0" w:line="240" w:lineRule="auto"/>
      </w:pPr>
      <w:r>
        <w:separator/>
      </w:r>
    </w:p>
  </w:footnote>
  <w:footnote w:type="continuationSeparator" w:id="0">
    <w:p w14:paraId="2E91C408" w14:textId="77777777" w:rsidR="005909DD" w:rsidRDefault="005909DD" w:rsidP="00120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8CA1" w14:textId="77777777" w:rsidR="00120AF3" w:rsidRDefault="00120AF3" w:rsidP="00120AF3">
    <w:pPr>
      <w:pStyle w:val="Header"/>
    </w:pPr>
    <w:r>
      <w:rPr>
        <w:noProof/>
      </w:rPr>
      <mc:AlternateContent>
        <mc:Choice Requires="wps">
          <w:drawing>
            <wp:anchor distT="0" distB="0" distL="114300" distR="114300" simplePos="0" relativeHeight="251659264" behindDoc="0" locked="0" layoutInCell="1" allowOverlap="1" wp14:anchorId="0D9EC925" wp14:editId="113AF5F7">
              <wp:simplePos x="0" y="0"/>
              <wp:positionH relativeFrom="column">
                <wp:posOffset>3692769</wp:posOffset>
              </wp:positionH>
              <wp:positionV relativeFrom="paragraph">
                <wp:posOffset>0</wp:posOffset>
              </wp:positionV>
              <wp:extent cx="2107614" cy="384631"/>
              <wp:effectExtent l="0" t="0" r="0" b="0"/>
              <wp:wrapNone/>
              <wp:docPr id="1644548978" name="文本框 4"/>
              <wp:cNvGraphicFramePr/>
              <a:graphic xmlns:a="http://schemas.openxmlformats.org/drawingml/2006/main">
                <a:graphicData uri="http://schemas.microsoft.com/office/word/2010/wordprocessingShape">
                  <wps:wsp>
                    <wps:cNvSpPr txBox="1"/>
                    <wps:spPr>
                      <a:xfrm>
                        <a:off x="0" y="0"/>
                        <a:ext cx="2107614" cy="3846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E9F4EA" w14:textId="77777777" w:rsidR="007B668A" w:rsidRPr="00885D71" w:rsidRDefault="00120AF3" w:rsidP="007B668A">
                          <w:pPr>
                            <w:rPr>
                              <w:color w:val="0D0D0D" w:themeColor="text1" w:themeTint="F2"/>
                              <w:sz w:val="18"/>
                              <w:szCs w:val="18"/>
                            </w:rPr>
                          </w:pPr>
                          <w:r w:rsidRPr="00885D71">
                            <w:rPr>
                              <w:color w:val="0D0D0D" w:themeColor="text1" w:themeTint="F2"/>
                              <w:sz w:val="18"/>
                              <w:szCs w:val="18"/>
                            </w:rPr>
                            <w:t>SEC</w:t>
                          </w:r>
                          <w:r>
                            <w:rPr>
                              <w:color w:val="0D0D0D" w:themeColor="text1" w:themeTint="F2"/>
                              <w:sz w:val="18"/>
                              <w:szCs w:val="18"/>
                            </w:rPr>
                            <w:t>-</w:t>
                          </w:r>
                          <w:r w:rsidRPr="00885D71">
                            <w:rPr>
                              <w:color w:val="0D0D0D" w:themeColor="text1" w:themeTint="F2"/>
                              <w:sz w:val="18"/>
                              <w:szCs w:val="18"/>
                            </w:rPr>
                            <w:t>registered Investment Advis</w:t>
                          </w:r>
                          <w:r>
                            <w:rPr>
                              <w:color w:val="0D0D0D" w:themeColor="text1" w:themeTint="F2"/>
                              <w:sz w:val="18"/>
                              <w:szCs w:val="18"/>
                            </w:rPr>
                            <w:t>er</w:t>
                          </w:r>
                          <w:r w:rsidR="007B668A">
                            <w:rPr>
                              <w:color w:val="0D0D0D" w:themeColor="text1" w:themeTint="F2"/>
                              <w:sz w:val="18"/>
                              <w:szCs w:val="18"/>
                            </w:rPr>
                            <w:br/>
                          </w:r>
                          <w:r w:rsidR="007B668A" w:rsidRPr="00885D71">
                            <w:rPr>
                              <w:color w:val="0D0D0D" w:themeColor="text1" w:themeTint="F2"/>
                              <w:sz w:val="18"/>
                              <w:szCs w:val="18"/>
                            </w:rPr>
                            <w:t>Member FINRA / SIPC</w:t>
                          </w:r>
                        </w:p>
                        <w:p w14:paraId="3A5F0E0D" w14:textId="07655947" w:rsidR="007B668A" w:rsidRPr="00885D71" w:rsidRDefault="007B668A" w:rsidP="00120AF3">
                          <w:pPr>
                            <w:rPr>
                              <w:color w:val="0D0D0D" w:themeColor="text1" w:themeTint="F2"/>
                              <w:sz w:val="18"/>
                              <w:szCs w:val="18"/>
                            </w:rPr>
                          </w:pPr>
                        </w:p>
                        <w:p w14:paraId="19B43387" w14:textId="77777777" w:rsidR="00120AF3" w:rsidRPr="00885D71" w:rsidRDefault="00120AF3" w:rsidP="00120AF3">
                          <w:pPr>
                            <w:rPr>
                              <w:color w:val="0D0D0D" w:themeColor="text1" w:themeTint="F2"/>
                              <w:sz w:val="18"/>
                              <w:szCs w:val="18"/>
                            </w:rPr>
                          </w:pPr>
                          <w:r w:rsidRPr="00885D71">
                            <w:rPr>
                              <w:color w:val="0D0D0D" w:themeColor="text1" w:themeTint="F2"/>
                              <w:sz w:val="18"/>
                              <w:szCs w:val="18"/>
                            </w:rPr>
                            <w:t>Member FINRA / SIPC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EC925" id="_x0000_t202" coordsize="21600,21600" o:spt="202" path="m,l,21600r21600,l21600,xe">
              <v:stroke joinstyle="miter"/>
              <v:path gradientshapeok="t" o:connecttype="rect"/>
            </v:shapetype>
            <v:shape id="文本框 4" o:spid="_x0000_s1026" type="#_x0000_t202" style="position:absolute;margin-left:290.75pt;margin-top:0;width:165.95pt;height:3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3CA8ZAIAAC8FAAAOAAAAZHJzL2Uyb0RvYy54bWysVN9v2jAQfp+0/8Hy+whQRjvUULFWTJNQ W62d+mwcG6I5Pu9sSNhf37OTUNbtpdNeEvt+33ff+fKqqQzbK/Ql2JyPBkPOlJVQlHaT8++Pyw8X nPkgbCEMWJXzg/L8av7+3WXtZmoMWzCFQkZBrJ/VLufbENwsy7zcqkr4AThlSakBKxHoipusQFFT 9Mpk4+FwmtWAhUOQynuS3rRKPk/xtVYy3GntVWAm51RbSF9M33X8ZvNLMdugcNtSdmWIf6iiEqWl pMdQNyIItsPyj1BVKRE86DCQUGWgdSlV6oG6GQ1fdfOwFU6lXggc744w+f8XVt7uH9w9stB8hoYG GAGpnZ95EsZ+Go1V/FOljPQE4eEIm2oCkyQcj4bn09GEM0m6s4vJ9CyFyV68HfrwRUHF4iHnSGNJ aIn9ygfKSKa9SUxmYVkak0Zj7G8CMoyS7KXEdAoHo6Kdsd+UZmWRKo0CL3GzvjbI2pETJ6mDfvAp GDlEQ00J3+jbuURvlZj2Rv+jU8oPNhz9q9ICJoDSHqjYwF4Qg4sfPbK6te+haAGIWIRm3XQzXENx oNEitKz3Ti5Lwn8lfLgXSDQnLGh1wx19tIE659CdONsC/vqbPNoT+0jLWU1rk3P/cydQcWa+WuLl p9FkEvcsXSYfz8d0wVPN+lRjd9U1UF8jeiScTMdoH0x/1AjVE234ImYllbCScuc89Mfr0E6WXgip FotkRJvlRFjZBydj6AhvZNdj8yTQdRQMRN5b6BdMzF4xsbWNnhYWuwC6TDSNALeodsDTVib2di9I XPvTe7J6eefmzwAAAP//AwBQSwMEFAAGAAgAAAAhAAblphrhAAAADAEAAA8AAABkcnMvZG93bnJl di54bWxMj81Ow0AMhO9IvMPKSNzobqCJ2jROhai4gig/Erdt4iYRWW+U3Tbh7TEnuFiyZjyer9jO rldnGkPnGSFZGFDEla87bhDeXh9vVqBCtFzb3jMhfFOAbXl5Udi89hO/0HkfGyUhHHKL0MY45FqH qiVnw8IPxKId/ehslHVsdD3aScJdr2+NybSzHcuH1g700FL1tT85hPen4+fH0jw3O5cOk5+NZrfW iNdX824j434DKtIc/y7gl0H6QynFDv7EdVA9QrpKUrEiCJbI6+RuCeqAkJkMdFno/xDlDwAAAP// AwBQSwECLQAUAAYACAAAACEAtoM4kv4AAADhAQAAEwAAAAAAAAAAAAAAAAAAAAAAW0NvbnRlbnRf VHlwZXNdLnhtbFBLAQItABQABgAIAAAAIQA4/SH/1gAAAJQBAAALAAAAAAAAAAAAAAAAAC8BAABf cmVscy8ucmVsc1BLAQItABQABgAIAAAAIQBc3CA8ZAIAAC8FAAAOAAAAAAAAAAAAAAAAAC4CAABk cnMvZTJvRG9jLnhtbFBLAQItABQABgAIAAAAIQAG5aYa4QAAAAwBAAAPAAAAAAAAAAAAAAAAAL4E AABkcnMvZG93bnJldi54bWxQSwUGAAAAAAQABADzAAAAzAUAAAAA " filled="f" stroked="f">
              <v:textbox>
                <w:txbxContent>
                  <w:p w14:paraId="01E9F4EA" w14:textId="77777777" w:rsidR="007B668A" w:rsidRPr="00885D71" w:rsidRDefault="00120AF3" w:rsidP="007B668A">
                    <w:pPr>
                      <w:rPr>
                        <w:color w:val="0D0D0D" w:themeColor="text1" w:themeTint="F2"/>
                        <w:sz w:val="18"/>
                        <w:szCs w:val="18"/>
                      </w:rPr>
                    </w:pPr>
                    <w:r w:rsidRPr="00885D71">
                      <w:rPr>
                        <w:color w:val="0D0D0D" w:themeColor="text1" w:themeTint="F2"/>
                        <w:sz w:val="18"/>
                        <w:szCs w:val="18"/>
                      </w:rPr>
                      <w:t>SEC</w:t>
                    </w:r>
                    <w:r>
                      <w:rPr>
                        <w:color w:val="0D0D0D" w:themeColor="text1" w:themeTint="F2"/>
                        <w:sz w:val="18"/>
                        <w:szCs w:val="18"/>
                      </w:rPr>
                      <w:t>-</w:t>
                    </w:r>
                    <w:r w:rsidRPr="00885D71">
                      <w:rPr>
                        <w:color w:val="0D0D0D" w:themeColor="text1" w:themeTint="F2"/>
                        <w:sz w:val="18"/>
                        <w:szCs w:val="18"/>
                      </w:rPr>
                      <w:t>registered Investment Advis</w:t>
                    </w:r>
                    <w:r>
                      <w:rPr>
                        <w:color w:val="0D0D0D" w:themeColor="text1" w:themeTint="F2"/>
                        <w:sz w:val="18"/>
                        <w:szCs w:val="18"/>
                      </w:rPr>
                      <w:t>er</w:t>
                    </w:r>
                    <w:r w:rsidR="007B668A">
                      <w:rPr>
                        <w:color w:val="0D0D0D" w:themeColor="text1" w:themeTint="F2"/>
                        <w:sz w:val="18"/>
                        <w:szCs w:val="18"/>
                      </w:rPr>
                      <w:br/>
                    </w:r>
                    <w:r w:rsidR="007B668A" w:rsidRPr="00885D71">
                      <w:rPr>
                        <w:color w:val="0D0D0D" w:themeColor="text1" w:themeTint="F2"/>
                        <w:sz w:val="18"/>
                        <w:szCs w:val="18"/>
                      </w:rPr>
                      <w:t>Member FINRA / SIPC</w:t>
                    </w:r>
                  </w:p>
                  <w:p w14:paraId="3A5F0E0D" w14:textId="07655947" w:rsidR="007B668A" w:rsidRPr="00885D71" w:rsidRDefault="007B668A" w:rsidP="00120AF3">
                    <w:pPr>
                      <w:rPr>
                        <w:color w:val="0D0D0D" w:themeColor="text1" w:themeTint="F2"/>
                        <w:sz w:val="18"/>
                        <w:szCs w:val="18"/>
                      </w:rPr>
                    </w:pPr>
                  </w:p>
                  <w:p w14:paraId="19B43387" w14:textId="77777777" w:rsidR="00120AF3" w:rsidRPr="00885D71" w:rsidRDefault="00120AF3" w:rsidP="00120AF3">
                    <w:pPr>
                      <w:rPr>
                        <w:color w:val="0D0D0D" w:themeColor="text1" w:themeTint="F2"/>
                        <w:sz w:val="18"/>
                        <w:szCs w:val="18"/>
                      </w:rPr>
                    </w:pPr>
                    <w:r w:rsidRPr="00885D71">
                      <w:rPr>
                        <w:color w:val="0D0D0D" w:themeColor="text1" w:themeTint="F2"/>
                        <w:sz w:val="18"/>
                        <w:szCs w:val="18"/>
                      </w:rPr>
                      <w:t>Member FINRA / SIPC</w:t>
                    </w:r>
                  </w:p>
                </w:txbxContent>
              </v:textbox>
            </v:shape>
          </w:pict>
        </mc:Fallback>
      </mc:AlternateContent>
    </w:r>
    <w:r>
      <w:rPr>
        <w:noProof/>
      </w:rPr>
      <w:drawing>
        <wp:inline distT="0" distB="0" distL="0" distR="0" wp14:anchorId="080A0C13" wp14:editId="047DE78F">
          <wp:extent cx="1562331" cy="385408"/>
          <wp:effectExtent l="0" t="0" r="0" b="0"/>
          <wp:docPr id="899806083" name="图片 3" descr="文本  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6083" name="图片 3" descr="文本  中度可信度描述已自动生成"/>
                  <pic:cNvPicPr/>
                </pic:nvPicPr>
                <pic:blipFill>
                  <a:blip r:embed="rId1"/>
                  <a:stretch>
                    <a:fillRect/>
                  </a:stretch>
                </pic:blipFill>
                <pic:spPr>
                  <a:xfrm>
                    <a:off x="0" y="0"/>
                    <a:ext cx="1745429" cy="430576"/>
                  </a:xfrm>
                  <a:prstGeom prst="rect">
                    <a:avLst/>
                  </a:prstGeom>
                </pic:spPr>
              </pic:pic>
            </a:graphicData>
          </a:graphic>
        </wp:inline>
      </w:drawing>
    </w:r>
  </w:p>
  <w:p w14:paraId="054BB0A3" w14:textId="77777777" w:rsidR="00120AF3" w:rsidRDefault="00120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591955">
    <w:abstractNumId w:val="8"/>
  </w:num>
  <w:num w:numId="2" w16cid:durableId="324239019">
    <w:abstractNumId w:val="6"/>
  </w:num>
  <w:num w:numId="3" w16cid:durableId="1674146160">
    <w:abstractNumId w:val="5"/>
  </w:num>
  <w:num w:numId="4" w16cid:durableId="1315986253">
    <w:abstractNumId w:val="4"/>
  </w:num>
  <w:num w:numId="5" w16cid:durableId="955987240">
    <w:abstractNumId w:val="7"/>
  </w:num>
  <w:num w:numId="6" w16cid:durableId="736365754">
    <w:abstractNumId w:val="3"/>
  </w:num>
  <w:num w:numId="7" w16cid:durableId="643777729">
    <w:abstractNumId w:val="2"/>
  </w:num>
  <w:num w:numId="8" w16cid:durableId="251546253">
    <w:abstractNumId w:val="1"/>
  </w:num>
  <w:num w:numId="9" w16cid:durableId="117587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44"/>
    <w:rsid w:val="0006063C"/>
    <w:rsid w:val="001104A7"/>
    <w:rsid w:val="00120AF3"/>
    <w:rsid w:val="00123AF2"/>
    <w:rsid w:val="0015074B"/>
    <w:rsid w:val="00211D4C"/>
    <w:rsid w:val="002208D1"/>
    <w:rsid w:val="00245354"/>
    <w:rsid w:val="0027569F"/>
    <w:rsid w:val="0029639D"/>
    <w:rsid w:val="002A02CA"/>
    <w:rsid w:val="00326F90"/>
    <w:rsid w:val="00430C3D"/>
    <w:rsid w:val="005524D0"/>
    <w:rsid w:val="005909DD"/>
    <w:rsid w:val="00602FB3"/>
    <w:rsid w:val="00796E91"/>
    <w:rsid w:val="007B668A"/>
    <w:rsid w:val="008F03BC"/>
    <w:rsid w:val="00AA1D8D"/>
    <w:rsid w:val="00B47730"/>
    <w:rsid w:val="00BD5A41"/>
    <w:rsid w:val="00CB0664"/>
    <w:rsid w:val="00E40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19CE4"/>
  <w14:defaultImageDpi w14:val="300"/>
  <w15:docId w15:val="{23273295-8563-814B-8C66-9563A6E7C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80b660-ded3-4c22-a54a-e3ecbea010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0734593664BA4C8F97E9A2B11D32B0" ma:contentTypeVersion="12" ma:contentTypeDescription="Create a new document." ma:contentTypeScope="" ma:versionID="7b4053b99a0f01c0ea5f74532e3c2210">
  <xsd:schema xmlns:xsd="http://www.w3.org/2001/XMLSchema" xmlns:xs="http://www.w3.org/2001/XMLSchema" xmlns:p="http://schemas.microsoft.com/office/2006/metadata/properties" xmlns:ns2="ef80b660-ded3-4c22-a54a-e3ecbea010f0" xmlns:ns3="7838eba9-d382-46d5-ad97-79ed61096c4a" targetNamespace="http://schemas.microsoft.com/office/2006/metadata/properties" ma:root="true" ma:fieldsID="4286fe063988ee43a84b5c303d165f3e" ns2:_="" ns3:_="">
    <xsd:import namespace="ef80b660-ded3-4c22-a54a-e3ecbea010f0"/>
    <xsd:import namespace="7838eba9-d382-46d5-ad97-79ed61096c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0b660-ded3-4c22-a54a-e3ecbea01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a37fe3c-1503-41e1-8170-48adc450d91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38eba9-d382-46d5-ad97-79ed61096c4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C78C1-8E87-406A-A4F2-83502A14D77C}">
  <ds:schemaRefs>
    <ds:schemaRef ds:uri="http://schemas.microsoft.com/office/2006/metadata/properties"/>
    <ds:schemaRef ds:uri="http://schemas.microsoft.com/office/infopath/2007/PartnerControls"/>
    <ds:schemaRef ds:uri="ef80b660-ded3-4c22-a54a-e3ecbea010f0"/>
  </ds:schemaRefs>
</ds:datastoreItem>
</file>

<file path=customXml/itemProps2.xml><?xml version="1.0" encoding="utf-8"?>
<ds:datastoreItem xmlns:ds="http://schemas.openxmlformats.org/officeDocument/2006/customXml" ds:itemID="{3E7C6B5E-CB0B-40DD-BB3C-F1C814C48E55}">
  <ds:schemaRefs>
    <ds:schemaRef ds:uri="http://schemas.microsoft.com/sharepoint/v3/contenttype/forms"/>
  </ds:schemaRefs>
</ds:datastoreItem>
</file>

<file path=customXml/itemProps3.xml><?xml version="1.0" encoding="utf-8"?>
<ds:datastoreItem xmlns:ds="http://schemas.openxmlformats.org/officeDocument/2006/customXml" ds:itemID="{44D213D3-4B22-4339-B9C7-F023CD667F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0b660-ded3-4c22-a54a-e3ecbea010f0"/>
    <ds:schemaRef ds:uri="7838eba9-d382-46d5-ad97-79ed61096c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439</Words>
  <Characters>3802</Characters>
  <Application>Microsoft Office Word</Application>
  <DocSecurity>0</DocSecurity>
  <Lines>70</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Moralez</cp:lastModifiedBy>
  <cp:revision>15</cp:revision>
  <dcterms:created xsi:type="dcterms:W3CDTF">2026-02-27T16:53:00Z</dcterms:created>
  <dcterms:modified xsi:type="dcterms:W3CDTF">2026-02-27T19:56:00Z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0x0101008F0734593664BA4C8F97E9A2B11D32B0</vt:lpwstr>
  </property>
</Properties>
</file>