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after="200"/>
        <w:jc w:val="center"/>
      </w:pPr>
      <w:r>
        <w:rPr>
          <w:rFonts w:ascii="Arial" w:cs="Arial" w:eastAsia="Arial" w:hAnsi="Arial"/>
          <w:b/>
          <w:bCs/>
          <w:sz w:val="48"/>
          <w:szCs w:val="48"/>
        </w:rPr>
        <w:t xml:space="preserve">Technijian Corporation</w:t>
      </w:r>
    </w:p>
    <w:p>
      <w:pPr>
        <w:spacing w:after="200"/>
        <w:jc w:val="center"/>
      </w:pPr>
      <w:r>
        <w:rPr>
          <w:rFonts w:ascii="Arial" w:cs="Arial" w:eastAsia="Arial" w:hAnsi="Arial"/>
          <w:sz w:val="32"/>
          <w:szCs w:val="32"/>
        </w:rPr>
        <w:t xml:space="preserve">Internal Policy Document Outlines</w:t>
      </w:r>
    </w:p>
    <w:p>
      <w:pPr>
        <w:spacing w:after="600"/>
        <w:jc w:val="center"/>
      </w:pPr>
      <w:r>
        <w:rPr>
          <w:rFonts w:ascii="Arial" w:cs="Arial" w:eastAsia="Arial" w:hAnsi="Arial"/>
          <w:color w:val="666666"/>
          <w:sz w:val="22"/>
          <w:szCs w:val="22"/>
        </w:rPr>
        <w:t xml:space="preserve">Prepared March 6, 2026</w:t>
      </w:r>
    </w:p>
    <w:p>
      <w:pPr>
        <w:spacing w:after="80"/>
      </w:pPr>
    </w:p>
    <w:p>
      <w:pPr>
        <w:spacing w:after="120"/>
        <w:jc w:val="center"/>
      </w:pPr>
      <w:r>
        <w:rPr>
          <w:rFonts w:ascii="Arial" w:cs="Arial" w:eastAsia="Arial" w:hAnsi="Arial"/>
          <w:sz w:val="22"/>
          <w:szCs w:val="22"/>
        </w:rPr>
        <w:t xml:space="preserve">This document contains outlines for the following Technijian internal policies:</w:t>
      </w:r>
    </w:p>
    <w:p>
      <w:pPr>
        <w:spacing w:after="80"/>
      </w:pPr>
    </w:p>
    <w:p>
      <w:pPr>
        <w:jc w:val="center"/>
      </w:pPr>
      <w:r>
        <w:rPr>
          <w:rFonts w:ascii="Arial" w:cs="Arial" w:eastAsia="Arial" w:hAnsi="Arial"/>
          <w:b/>
          <w:bCs/>
          <w:sz w:val="22"/>
          <w:szCs w:val="22"/>
        </w:rPr>
        <w:t xml:space="preserve">1. Information Security Program (WISP)</w:t>
      </w:r>
    </w:p>
    <w:p>
      <w:pPr>
        <w:jc w:val="center"/>
      </w:pPr>
      <w:r>
        <w:rPr>
          <w:rFonts w:ascii="Arial" w:cs="Arial" w:eastAsia="Arial" w:hAnsi="Arial"/>
          <w:b/>
          <w:bCs/>
          <w:sz w:val="22"/>
          <w:szCs w:val="22"/>
        </w:rPr>
        <w:t xml:space="preserve">2. Incident Response Plan (IRP)</w:t>
      </w:r>
    </w:p>
    <w:p>
      <w:pPr>
        <w:jc w:val="center"/>
      </w:pPr>
      <w:r>
        <w:rPr>
          <w:rFonts w:ascii="Arial" w:cs="Arial" w:eastAsia="Arial" w:hAnsi="Arial"/>
          <w:b/>
          <w:bCs/>
          <w:sz w:val="22"/>
          <w:szCs w:val="22"/>
        </w:rPr>
        <w:t xml:space="preserve">3. Business Continuity &amp; Disaster Recovery Plan (BCP/DR)</w:t>
      </w:r>
    </w:p>
    <w:p>
      <w:pPr>
        <w:spacing w:after="80"/>
      </w:pPr>
    </w:p>
    <w:p>
      <w:pPr>
        <w:spacing w:before="400"/>
        <w:jc w:val="center"/>
      </w:pPr>
      <w:r>
        <w:rPr>
          <w:rFonts w:ascii="Arial" w:cs="Arial" w:eastAsia="Arial" w:hAnsi="Arial"/>
          <w:i/>
          <w:iCs/>
          <w:color w:val="888888"/>
          <w:sz w:val="20"/>
          <w:szCs w:val="20"/>
        </w:rPr>
        <w:t xml:space="preserve">Gray italic text in brackets indicates sections to be completed.</w:t>
      </w:r>
    </w:p>
    <w:p>
      <w:r>
        <w:br w:type="page"/>
      </w:r>
    </w:p>
    <w:p>
      <w:pPr>
        <w:pStyle w:val="Heading1"/>
        <w:spacing w:before="360" w:after="200"/>
      </w:pPr>
      <w:r>
        <w:rPr>
          <w:rFonts w:ascii="Arial" w:cs="Arial" w:eastAsia="Arial" w:hAnsi="Arial"/>
          <w:b/>
          <w:bCs/>
          <w:sz w:val="32"/>
          <w:szCs w:val="32"/>
        </w:rPr>
        <w:t xml:space="preserve">Technijian Corporation</w:t>
      </w:r>
    </w:p>
    <w:p>
      <w:pPr>
        <w:spacing w:after="80"/>
        <w:jc w:val="center"/>
      </w:pPr>
      <w:r>
        <w:rPr>
          <w:rFonts w:ascii="Arial" w:cs="Arial" w:eastAsia="Arial" w:hAnsi="Arial"/>
          <w:b/>
          <w:bCs/>
          <w:sz w:val="36"/>
          <w:szCs w:val="36"/>
        </w:rPr>
        <w:t xml:space="preserve">Information Security Program (WISP)</w:t>
      </w:r>
    </w:p>
    <w:p>
      <w:pPr>
        <w:spacing w:after="80"/>
        <w:jc w:val="center"/>
      </w:pPr>
      <w:r>
        <w:rPr>
          <w:rFonts w:ascii="Arial" w:cs="Arial" w:eastAsia="Arial" w:hAnsi="Arial"/>
          <w:color w:val="666666"/>
          <w:sz w:val="20"/>
          <w:szCs w:val="20"/>
        </w:rPr>
        <w:t xml:space="preserve">Version 1.0 | March 6, 2026</w:t>
      </w:r>
    </w:p>
    <w:p>
      <w:pPr>
        <w:spacing w:after="80"/>
        <w:jc w:val="center"/>
      </w:pPr>
      <w:r>
        <w:rPr>
          <w:rFonts w:ascii="Arial" w:cs="Arial" w:eastAsia="Arial" w:hAnsi="Arial"/>
          <w:b/>
          <w:bCs/>
          <w:color w:val="CC0000"/>
          <w:sz w:val="20"/>
          <w:szCs w:val="20"/>
        </w:rPr>
        <w:t xml:space="preserve">Classification: Confidential</w:t>
      </w:r>
    </w:p>
    <w:p>
      <w:pPr>
        <w:spacing w:after="80"/>
      </w:pPr>
    </w:p>
    <w:p>
      <w:pPr>
        <w:spacing w:after="120"/>
      </w:pPr>
      <w:r>
        <w:rPr>
          <w:rFonts w:ascii="Arial" w:cs="Arial" w:eastAsia="Arial" w:hAnsi="Arial"/>
          <w:sz w:val="20"/>
          <w:szCs w:val="20"/>
        </w:rPr>
        <w:t xml:space="preserve">Document Owner: _________________</w:t>
      </w:r>
    </w:p>
    <w:p>
      <w:pPr>
        <w:spacing w:after="120"/>
      </w:pPr>
      <w:r>
        <w:rPr>
          <w:rFonts w:ascii="Arial" w:cs="Arial" w:eastAsia="Arial" w:hAnsi="Arial"/>
          <w:sz w:val="20"/>
          <w:szCs w:val="20"/>
        </w:rPr>
        <w:t xml:space="preserve">Approved By: _________________</w:t>
      </w:r>
    </w:p>
    <w:p>
      <w:pPr>
        <w:spacing w:after="120"/>
      </w:pPr>
      <w:r>
        <w:rPr>
          <w:rFonts w:ascii="Arial" w:cs="Arial" w:eastAsia="Arial" w:hAnsi="Arial"/>
          <w:sz w:val="20"/>
          <w:szCs w:val="20"/>
        </w:rPr>
        <w:t xml:space="preserve">Next Review Date: _________________</w:t>
      </w:r>
    </w:p>
    <w:p>
      <w:r>
        <w:br w:type="page"/>
      </w:r>
    </w:p>
    <w:p>
      <w:pPr>
        <w:pStyle w:val="Heading1"/>
        <w:spacing w:before="360" w:after="200"/>
      </w:pPr>
      <w:r>
        <w:rPr>
          <w:rFonts w:ascii="Arial" w:cs="Arial" w:eastAsia="Arial" w:hAnsi="Arial"/>
          <w:b/>
          <w:bCs/>
          <w:sz w:val="32"/>
          <w:szCs w:val="32"/>
        </w:rPr>
        <w:t xml:space="preserve">1. Purpose and Scope</w:t>
      </w:r>
    </w:p>
    <w:p>
      <w:pPr>
        <w:spacing w:after="120"/>
      </w:pPr>
      <w:r>
        <w:rPr>
          <w:rFonts w:ascii="Arial" w:cs="Arial" w:eastAsia="Arial" w:hAnsi="Arial"/>
          <w:i/>
          <w:iCs/>
          <w:color w:val="888888"/>
          <w:sz w:val="20"/>
          <w:szCs w:val="20"/>
        </w:rPr>
        <w:t xml:space="preserve">[State the purpose of this Information Security Program: to establish administrative, technical, and physical safeguards for protecting the confidentiality, integrity, and availability of Technijian’s information assets and client data.]</w:t>
      </w:r>
    </w:p>
    <w:p>
      <w:pPr>
        <w:pStyle w:val="Heading2"/>
        <w:spacing w:before="280" w:after="160"/>
      </w:pPr>
      <w:r>
        <w:rPr>
          <w:rFonts w:ascii="Arial" w:cs="Arial" w:eastAsia="Arial" w:hAnsi="Arial"/>
          <w:b/>
          <w:bCs/>
          <w:sz w:val="26"/>
          <w:szCs w:val="26"/>
        </w:rPr>
        <w:t xml:space="preserve">1.1 Scope</w:t>
      </w:r>
    </w:p>
    <w:p>
      <w:pPr>
        <w:spacing w:after="120"/>
      </w:pPr>
      <w:r>
        <w:rPr>
          <w:rFonts w:ascii="Arial" w:cs="Arial" w:eastAsia="Arial" w:hAnsi="Arial"/>
          <w:i/>
          <w:iCs/>
          <w:color w:val="888888"/>
          <w:sz w:val="20"/>
          <w:szCs w:val="20"/>
        </w:rPr>
        <w:t xml:space="preserve">[Define what is in scope: all Technijian employees, contractors, subcontractors, systems, networks, data (internal and client), and facilities. Include remote workers and BYOD if applicable.]</w:t>
      </w:r>
    </w:p>
    <w:p>
      <w:pPr>
        <w:pStyle w:val="Heading2"/>
        <w:spacing w:before="280" w:after="160"/>
      </w:pPr>
      <w:r>
        <w:rPr>
          <w:rFonts w:ascii="Arial" w:cs="Arial" w:eastAsia="Arial" w:hAnsi="Arial"/>
          <w:b/>
          <w:bCs/>
          <w:sz w:val="26"/>
          <w:szCs w:val="26"/>
        </w:rPr>
        <w:t xml:space="preserve">1.2 Regulatory Alignment</w:t>
      </w:r>
    </w:p>
    <w:p>
      <w:pPr>
        <w:spacing w:after="120"/>
      </w:pPr>
      <w:r>
        <w:rPr>
          <w:rFonts w:ascii="Arial" w:cs="Arial" w:eastAsia="Arial" w:hAnsi="Arial"/>
          <w:i/>
          <w:iCs/>
          <w:color w:val="888888"/>
          <w:sz w:val="20"/>
          <w:szCs w:val="20"/>
        </w:rPr>
        <w:t xml:space="preserve">[List frameworks this program aligns with: NIST Cybersecurity Framework, SOC 2 Trust Services Criteria, HIPAA Security Rule, PCI-DSS, SEC Reg S-P, FINRA cybersecurity guidance, CCPA/CPRA, and FTC Safeguards Rule.]</w:t>
      </w:r>
    </w:p>
    <w:p>
      <w:pPr>
        <w:pStyle w:val="Heading2"/>
        <w:spacing w:before="280" w:after="160"/>
      </w:pPr>
      <w:r>
        <w:rPr>
          <w:rFonts w:ascii="Arial" w:cs="Arial" w:eastAsia="Arial" w:hAnsi="Arial"/>
          <w:b/>
          <w:bCs/>
          <w:sz w:val="26"/>
          <w:szCs w:val="26"/>
        </w:rPr>
        <w:t xml:space="preserve">1.3 Definitions</w:t>
      </w:r>
    </w:p>
    <w:p>
      <w:pPr>
        <w:spacing w:after="120"/>
      </w:pPr>
      <w:r>
        <w:rPr>
          <w:rFonts w:ascii="Arial" w:cs="Arial" w:eastAsia="Arial" w:hAnsi="Arial"/>
          <w:i/>
          <w:iCs/>
          <w:color w:val="888888"/>
          <w:sz w:val="20"/>
          <w:szCs w:val="20"/>
        </w:rPr>
        <w:t xml:space="preserve">[Define key terms: NPI, PII, PHI, ePHI, Confidential Data, Critical Systems, Authorized Users, Security Incident, etc.]</w:t>
      </w:r>
    </w:p>
    <w:p>
      <w:pPr>
        <w:pStyle w:val="Heading1"/>
        <w:spacing w:before="360" w:after="200"/>
      </w:pPr>
      <w:r>
        <w:rPr>
          <w:rFonts w:ascii="Arial" w:cs="Arial" w:eastAsia="Arial" w:hAnsi="Arial"/>
          <w:b/>
          <w:bCs/>
          <w:sz w:val="32"/>
          <w:szCs w:val="32"/>
        </w:rPr>
        <w:t xml:space="preserve">2. Governance and Organizational Security</w:t>
      </w:r>
    </w:p>
    <w:p>
      <w:pPr>
        <w:pStyle w:val="Heading2"/>
        <w:spacing w:before="280" w:after="160"/>
      </w:pPr>
      <w:r>
        <w:rPr>
          <w:rFonts w:ascii="Arial" w:cs="Arial" w:eastAsia="Arial" w:hAnsi="Arial"/>
          <w:b/>
          <w:bCs/>
          <w:sz w:val="26"/>
          <w:szCs w:val="26"/>
        </w:rPr>
        <w:t xml:space="preserve">2.1 Security Leadership</w:t>
      </w:r>
    </w:p>
    <w:p>
      <w:pPr>
        <w:spacing w:after="120"/>
      </w:pPr>
      <w:r>
        <w:rPr>
          <w:rFonts w:ascii="Arial" w:cs="Arial" w:eastAsia="Arial" w:hAnsi="Arial"/>
          <w:i/>
          <w:iCs/>
          <w:color w:val="888888"/>
          <w:sz w:val="20"/>
          <w:szCs w:val="20"/>
        </w:rPr>
        <w:t xml:space="preserve">[Identify the designated security officer / vCISO role, reporting structure, and authority. Define who is accountable for the program.]</w:t>
      </w:r>
    </w:p>
    <w:p>
      <w:pPr>
        <w:pStyle w:val="Heading2"/>
        <w:spacing w:before="280" w:after="160"/>
      </w:pPr>
      <w:r>
        <w:rPr>
          <w:rFonts w:ascii="Arial" w:cs="Arial" w:eastAsia="Arial" w:hAnsi="Arial"/>
          <w:b/>
          <w:bCs/>
          <w:sz w:val="26"/>
          <w:szCs w:val="26"/>
        </w:rPr>
        <w:t xml:space="preserve">2.2 Roles and Responsibilities</w:t>
      </w:r>
    </w:p>
    <w:p>
      <w:pPr>
        <w:spacing w:after="120"/>
      </w:pPr>
      <w:r>
        <w:rPr>
          <w:rFonts w:ascii="Arial" w:cs="Arial" w:eastAsia="Arial" w:hAnsi="Arial"/>
          <w:i/>
          <w:iCs/>
          <w:color w:val="888888"/>
          <w:sz w:val="20"/>
          <w:szCs w:val="20"/>
        </w:rPr>
        <w:t xml:space="preserve">[Define security responsibilities for: CEO/Founder, Security Officer, IT Operations, Engineers with client access, HR, all employees. Include responsibility for subcontractors.]</w:t>
      </w:r>
    </w:p>
    <w:p>
      <w:pPr>
        <w:pStyle w:val="Heading2"/>
        <w:spacing w:before="280" w:after="160"/>
      </w:pPr>
      <w:r>
        <w:rPr>
          <w:rFonts w:ascii="Arial" w:cs="Arial" w:eastAsia="Arial" w:hAnsi="Arial"/>
          <w:b/>
          <w:bCs/>
          <w:sz w:val="26"/>
          <w:szCs w:val="26"/>
        </w:rPr>
        <w:t xml:space="preserve">2.3 Policy Review Cycle</w:t>
      </w:r>
    </w:p>
    <w:p>
      <w:pPr>
        <w:spacing w:after="120"/>
      </w:pPr>
      <w:r>
        <w:rPr>
          <w:rFonts w:ascii="Arial" w:cs="Arial" w:eastAsia="Arial" w:hAnsi="Arial"/>
          <w:i/>
          <w:iCs/>
          <w:color w:val="888888"/>
          <w:sz w:val="20"/>
          <w:szCs w:val="20"/>
        </w:rPr>
        <w:t xml:space="preserve">[State the annual review and approval cycle. Define triggers for out-of-cycle review: regulatory changes, significant incidents, major infrastructure changes.]</w:t>
      </w:r>
    </w:p>
    <w:p>
      <w:pPr>
        <w:pStyle w:val="Heading1"/>
        <w:spacing w:before="360" w:after="200"/>
      </w:pPr>
      <w:r>
        <w:rPr>
          <w:rFonts w:ascii="Arial" w:cs="Arial" w:eastAsia="Arial" w:hAnsi="Arial"/>
          <w:b/>
          <w:bCs/>
          <w:sz w:val="32"/>
          <w:szCs w:val="32"/>
        </w:rPr>
        <w:t xml:space="preserve">3. Risk Assessment and Management</w:t>
      </w:r>
    </w:p>
    <w:p>
      <w:pPr>
        <w:pStyle w:val="Heading2"/>
        <w:spacing w:before="280" w:after="160"/>
      </w:pPr>
      <w:r>
        <w:rPr>
          <w:rFonts w:ascii="Arial" w:cs="Arial" w:eastAsia="Arial" w:hAnsi="Arial"/>
          <w:b/>
          <w:bCs/>
          <w:sz w:val="26"/>
          <w:szCs w:val="26"/>
        </w:rPr>
        <w:t xml:space="preserve">3.1 Risk Assessment Process</w:t>
      </w:r>
    </w:p>
    <w:p>
      <w:pPr>
        <w:spacing w:after="120"/>
      </w:pPr>
      <w:r>
        <w:rPr>
          <w:rFonts w:ascii="Arial" w:cs="Arial" w:eastAsia="Arial" w:hAnsi="Arial"/>
          <w:i/>
          <w:iCs/>
          <w:color w:val="888888"/>
          <w:sz w:val="20"/>
          <w:szCs w:val="20"/>
        </w:rPr>
        <w:t xml:space="preserve">[Describe the methodology: asset identification, threat identification, vulnerability assessment, likelihood/impact scoring, risk rating, and treatment decisions (accept, mitigate, transfer, avoid).]</w:t>
      </w:r>
    </w:p>
    <w:p>
      <w:pPr>
        <w:pStyle w:val="Heading2"/>
        <w:spacing w:before="280" w:after="160"/>
      </w:pPr>
      <w:r>
        <w:rPr>
          <w:rFonts w:ascii="Arial" w:cs="Arial" w:eastAsia="Arial" w:hAnsi="Arial"/>
          <w:b/>
          <w:bCs/>
          <w:sz w:val="26"/>
          <w:szCs w:val="26"/>
        </w:rPr>
        <w:t xml:space="preserve">3.2 Risk Assessment Frequency</w:t>
      </w:r>
    </w:p>
    <w:p>
      <w:pPr>
        <w:spacing w:after="120"/>
      </w:pPr>
      <w:r>
        <w:rPr>
          <w:rFonts w:ascii="Arial" w:cs="Arial" w:eastAsia="Arial" w:hAnsi="Arial"/>
          <w:i/>
          <w:iCs/>
          <w:color w:val="888888"/>
          <w:sz w:val="20"/>
          <w:szCs w:val="20"/>
        </w:rPr>
        <w:t xml:space="preserve">[Annual formal risk assessment plus ad-hoc assessments for significant changes. Document who conducts, who approves, and where results are stored.]</w:t>
      </w:r>
    </w:p>
    <w:p>
      <w:pPr>
        <w:pStyle w:val="Heading2"/>
        <w:spacing w:before="280" w:after="160"/>
      </w:pPr>
      <w:r>
        <w:rPr>
          <w:rFonts w:ascii="Arial" w:cs="Arial" w:eastAsia="Arial" w:hAnsi="Arial"/>
          <w:b/>
          <w:bCs/>
          <w:sz w:val="26"/>
          <w:szCs w:val="26"/>
        </w:rPr>
        <w:t xml:space="preserve">3.3 Risk Register</w:t>
      </w:r>
    </w:p>
    <w:p>
      <w:pPr>
        <w:spacing w:after="120"/>
      </w:pPr>
      <w:r>
        <w:rPr>
          <w:rFonts w:ascii="Arial" w:cs="Arial" w:eastAsia="Arial" w:hAnsi="Arial"/>
          <w:i/>
          <w:iCs/>
          <w:color w:val="888888"/>
          <w:sz w:val="20"/>
          <w:szCs w:val="20"/>
        </w:rPr>
        <w:t xml:space="preserve">[Maintain a risk register with identified risks, risk owners, treatment plans, status, and target dates. Review quarterly.]</w:t>
      </w:r>
    </w:p>
    <w:p>
      <w:pPr>
        <w:pStyle w:val="Heading1"/>
        <w:spacing w:before="360" w:after="200"/>
      </w:pPr>
      <w:r>
        <w:rPr>
          <w:rFonts w:ascii="Arial" w:cs="Arial" w:eastAsia="Arial" w:hAnsi="Arial"/>
          <w:b/>
          <w:bCs/>
          <w:sz w:val="32"/>
          <w:szCs w:val="32"/>
        </w:rPr>
        <w:t xml:space="preserve">4. Access Control</w:t>
      </w:r>
    </w:p>
    <w:p>
      <w:pPr>
        <w:pStyle w:val="Heading2"/>
        <w:spacing w:before="280" w:after="160"/>
      </w:pPr>
      <w:r>
        <w:rPr>
          <w:rFonts w:ascii="Arial" w:cs="Arial" w:eastAsia="Arial" w:hAnsi="Arial"/>
          <w:b/>
          <w:bCs/>
          <w:sz w:val="26"/>
          <w:szCs w:val="26"/>
        </w:rPr>
        <w:t xml:space="preserve">4.1 Least Privilege and Role-Based Access</w:t>
      </w:r>
    </w:p>
    <w:p>
      <w:pPr>
        <w:spacing w:after="120"/>
      </w:pPr>
      <w:r>
        <w:rPr>
          <w:rFonts w:ascii="Arial" w:cs="Arial" w:eastAsia="Arial" w:hAnsi="Arial"/>
          <w:i/>
          <w:iCs/>
          <w:color w:val="888888"/>
          <w:sz w:val="20"/>
          <w:szCs w:val="20"/>
        </w:rPr>
        <w:t xml:space="preserve">[Describe RBAC implementation, role definitions, access request and approval workflow, and the principle of least privilege enforcement.]</w:t>
      </w:r>
    </w:p>
    <w:p>
      <w:pPr>
        <w:pStyle w:val="Heading2"/>
        <w:spacing w:before="280" w:after="160"/>
      </w:pPr>
      <w:r>
        <w:rPr>
          <w:rFonts w:ascii="Arial" w:cs="Arial" w:eastAsia="Arial" w:hAnsi="Arial"/>
          <w:b/>
          <w:bCs/>
          <w:sz w:val="26"/>
          <w:szCs w:val="26"/>
        </w:rPr>
        <w:t xml:space="preserve">4.2 Authentication Standards</w:t>
      </w:r>
    </w:p>
    <w:p>
      <w:pPr>
        <w:spacing w:after="120"/>
      </w:pPr>
      <w:r>
        <w:rPr>
          <w:rFonts w:ascii="Arial" w:cs="Arial" w:eastAsia="Arial" w:hAnsi="Arial"/>
          <w:i/>
          <w:iCs/>
          <w:color w:val="888888"/>
          <w:sz w:val="20"/>
          <w:szCs w:val="20"/>
        </w:rPr>
        <w:t xml:space="preserve">[MFA required for all administrative access. No SMS-based MFA for admin accounts. Approved methods: authenticator apps (TOTP), hardware tokens, FIDO2 keys. Password complexity and rotation requirements.]</w:t>
      </w:r>
    </w:p>
    <w:p>
      <w:pPr>
        <w:pStyle w:val="Heading2"/>
        <w:spacing w:before="280" w:after="160"/>
      </w:pPr>
      <w:r>
        <w:rPr>
          <w:rFonts w:ascii="Arial" w:cs="Arial" w:eastAsia="Arial" w:hAnsi="Arial"/>
          <w:b/>
          <w:bCs/>
          <w:sz w:val="26"/>
          <w:szCs w:val="26"/>
        </w:rPr>
        <w:t xml:space="preserve">4.3 Access Reviews</w:t>
      </w:r>
    </w:p>
    <w:p>
      <w:pPr>
        <w:spacing w:after="120"/>
      </w:pPr>
      <w:r>
        <w:rPr>
          <w:rFonts w:ascii="Arial" w:cs="Arial" w:eastAsia="Arial" w:hAnsi="Arial"/>
          <w:i/>
          <w:iCs/>
          <w:color w:val="888888"/>
          <w:sz w:val="20"/>
          <w:szCs w:val="20"/>
        </w:rPr>
        <w:t xml:space="preserve">[Quarterly access reviews and recertification. Document the review process: who reviews, evidence retained, remediation of excess permissions.]</w:t>
      </w:r>
    </w:p>
    <w:p>
      <w:pPr>
        <w:pStyle w:val="Heading2"/>
        <w:spacing w:before="280" w:after="160"/>
      </w:pPr>
      <w:r>
        <w:rPr>
          <w:rFonts w:ascii="Arial" w:cs="Arial" w:eastAsia="Arial" w:hAnsi="Arial"/>
          <w:b/>
          <w:bCs/>
          <w:sz w:val="26"/>
          <w:szCs w:val="26"/>
        </w:rPr>
        <w:t xml:space="preserve">4.4 Privileged Access Management</w:t>
      </w:r>
    </w:p>
    <w:p>
      <w:pPr>
        <w:spacing w:after="120"/>
      </w:pPr>
      <w:r>
        <w:rPr>
          <w:rFonts w:ascii="Arial" w:cs="Arial" w:eastAsia="Arial" w:hAnsi="Arial"/>
          <w:i/>
          <w:iCs/>
          <w:color w:val="888888"/>
          <w:sz w:val="20"/>
          <w:szCs w:val="20"/>
        </w:rPr>
        <w:t xml:space="preserve">[Just-in-time privileged access, logging of all privileged actions, weekly review of high-risk system logs, monthly review of standard system logs.]</w:t>
      </w:r>
    </w:p>
    <w:p>
      <w:pPr>
        <w:pStyle w:val="Heading2"/>
        <w:spacing w:before="280" w:after="160"/>
      </w:pPr>
      <w:r>
        <w:rPr>
          <w:rFonts w:ascii="Arial" w:cs="Arial" w:eastAsia="Arial" w:hAnsi="Arial"/>
          <w:b/>
          <w:bCs/>
          <w:sz w:val="26"/>
          <w:szCs w:val="26"/>
        </w:rPr>
        <w:t xml:space="preserve">4.5 Remote Access</w:t>
      </w:r>
    </w:p>
    <w:p>
      <w:pPr>
        <w:spacing w:after="120"/>
      </w:pPr>
      <w:r>
        <w:rPr>
          <w:rFonts w:ascii="Arial" w:cs="Arial" w:eastAsia="Arial" w:hAnsi="Arial"/>
          <w:i/>
          <w:iCs/>
          <w:color w:val="888888"/>
          <w:sz w:val="20"/>
          <w:szCs w:val="20"/>
        </w:rPr>
        <w:t xml:space="preserve">[VPN requirements, TLS 1.2+ enforcement, endpoint compliance checks before connection, session timeouts.]</w:t>
      </w:r>
    </w:p>
    <w:p>
      <w:pPr>
        <w:pStyle w:val="Heading1"/>
        <w:spacing w:before="360" w:after="200"/>
      </w:pPr>
      <w:r>
        <w:rPr>
          <w:rFonts w:ascii="Arial" w:cs="Arial" w:eastAsia="Arial" w:hAnsi="Arial"/>
          <w:b/>
          <w:bCs/>
          <w:sz w:val="32"/>
          <w:szCs w:val="32"/>
        </w:rPr>
        <w:t xml:space="preserve">5. Data Protection</w:t>
      </w:r>
    </w:p>
    <w:p>
      <w:pPr>
        <w:pStyle w:val="Heading2"/>
        <w:spacing w:before="280" w:after="160"/>
      </w:pPr>
      <w:r>
        <w:rPr>
          <w:rFonts w:ascii="Arial" w:cs="Arial" w:eastAsia="Arial" w:hAnsi="Arial"/>
          <w:b/>
          <w:bCs/>
          <w:sz w:val="26"/>
          <w:szCs w:val="26"/>
        </w:rPr>
        <w:t xml:space="preserve">5.1 Data Classification</w:t>
      </w:r>
    </w:p>
    <w:p>
      <w:pPr>
        <w:spacing w:after="120"/>
      </w:pPr>
      <w:r>
        <w:rPr>
          <w:rFonts w:ascii="Arial" w:cs="Arial" w:eastAsia="Arial" w:hAnsi="Arial"/>
          <w:i/>
          <w:iCs/>
          <w:color w:val="888888"/>
          <w:sz w:val="20"/>
          <w:szCs w:val="20"/>
        </w:rPr>
        <w:t xml:space="preserve">[Define classification levels: Public, Internal, Confidential, Restricted. Mapping of data types to classifications (client NPI = Restricted, internal docs = Internal, etc.).]</w:t>
      </w:r>
    </w:p>
    <w:p>
      <w:pPr>
        <w:pStyle w:val="Heading2"/>
        <w:spacing w:before="280" w:after="160"/>
      </w:pPr>
      <w:r>
        <w:rPr>
          <w:rFonts w:ascii="Arial" w:cs="Arial" w:eastAsia="Arial" w:hAnsi="Arial"/>
          <w:b/>
          <w:bCs/>
          <w:sz w:val="26"/>
          <w:szCs w:val="26"/>
        </w:rPr>
        <w:t xml:space="preserve">5.2 Encryption Standards</w:t>
      </w:r>
    </w:p>
    <w:p>
      <w:pPr>
        <w:spacing w:after="120"/>
      </w:pPr>
      <w:r>
        <w:rPr>
          <w:rFonts w:ascii="Arial" w:cs="Arial" w:eastAsia="Arial" w:hAnsi="Arial"/>
          <w:i/>
          <w:iCs/>
          <w:color w:val="888888"/>
          <w:sz w:val="20"/>
          <w:szCs w:val="20"/>
        </w:rPr>
        <w:t xml:space="preserve">[Data in transit: TLS 1.2+. Data at rest: AES-256. Full-disk encryption (BitLocker/FileVault) on all endpoints. TDE on SQL Server instances with sensitive data. Key management procedures.]</w:t>
      </w:r>
    </w:p>
    <w:p>
      <w:pPr>
        <w:pStyle w:val="Heading2"/>
        <w:spacing w:before="280" w:after="160"/>
      </w:pPr>
      <w:r>
        <w:rPr>
          <w:rFonts w:ascii="Arial" w:cs="Arial" w:eastAsia="Arial" w:hAnsi="Arial"/>
          <w:b/>
          <w:bCs/>
          <w:sz w:val="26"/>
          <w:szCs w:val="26"/>
        </w:rPr>
        <w:t xml:space="preserve">5.3 Data Retention and Destruction</w:t>
      </w:r>
    </w:p>
    <w:p>
      <w:pPr>
        <w:spacing w:after="120"/>
      </w:pPr>
      <w:r>
        <w:rPr>
          <w:rFonts w:ascii="Arial" w:cs="Arial" w:eastAsia="Arial" w:hAnsi="Arial"/>
          <w:i/>
          <w:iCs/>
          <w:color w:val="888888"/>
          <w:sz w:val="20"/>
          <w:szCs w:val="20"/>
        </w:rPr>
        <w:t xml:space="preserve">[Retention periods by data type and regulatory requirement. Destruction methods per NIST SP 800-88: cryptographic erasure, secure overwrite, physical destruction. Certificates of destruction.]</w:t>
      </w:r>
    </w:p>
    <w:p>
      <w:pPr>
        <w:pStyle w:val="Heading2"/>
        <w:spacing w:before="280" w:after="160"/>
      </w:pPr>
      <w:r>
        <w:rPr>
          <w:rFonts w:ascii="Arial" w:cs="Arial" w:eastAsia="Arial" w:hAnsi="Arial"/>
          <w:b/>
          <w:bCs/>
          <w:sz w:val="26"/>
          <w:szCs w:val="26"/>
        </w:rPr>
        <w:t xml:space="preserve">5.4 Client Data Segregation</w:t>
      </w:r>
    </w:p>
    <w:p>
      <w:pPr>
        <w:spacing w:after="120"/>
      </w:pPr>
      <w:r>
        <w:rPr>
          <w:rFonts w:ascii="Arial" w:cs="Arial" w:eastAsia="Arial" w:hAnsi="Arial"/>
          <w:i/>
          <w:iCs/>
          <w:color w:val="888888"/>
          <w:sz w:val="20"/>
          <w:szCs w:val="20"/>
        </w:rPr>
        <w:t xml:space="preserve">[Logical/physical segregation: dedicated tenancies, VLANs, firewall rules, separate database instances. Cross-client access prohibition.]</w:t>
      </w:r>
    </w:p>
    <w:p>
      <w:pPr>
        <w:pStyle w:val="Heading1"/>
        <w:spacing w:before="360" w:after="200"/>
      </w:pPr>
      <w:r>
        <w:rPr>
          <w:rFonts w:ascii="Arial" w:cs="Arial" w:eastAsia="Arial" w:hAnsi="Arial"/>
          <w:b/>
          <w:bCs/>
          <w:sz w:val="32"/>
          <w:szCs w:val="32"/>
        </w:rPr>
        <w:t xml:space="preserve">6. Network and Infrastructure Security</w:t>
      </w:r>
    </w:p>
    <w:p>
      <w:pPr>
        <w:pStyle w:val="Heading2"/>
        <w:spacing w:before="280" w:after="160"/>
      </w:pPr>
      <w:r>
        <w:rPr>
          <w:rFonts w:ascii="Arial" w:cs="Arial" w:eastAsia="Arial" w:hAnsi="Arial"/>
          <w:b/>
          <w:bCs/>
          <w:sz w:val="26"/>
          <w:szCs w:val="26"/>
        </w:rPr>
        <w:t xml:space="preserve">6.1 Network Architecture</w:t>
      </w:r>
    </w:p>
    <w:p>
      <w:pPr>
        <w:spacing w:after="120"/>
      </w:pPr>
      <w:r>
        <w:rPr>
          <w:rFonts w:ascii="Arial" w:cs="Arial" w:eastAsia="Arial" w:hAnsi="Arial"/>
          <w:i/>
          <w:iCs/>
          <w:color w:val="888888"/>
          <w:sz w:val="20"/>
          <w:szCs w:val="20"/>
        </w:rPr>
        <w:t xml:space="preserve">[Network segmentation strategy, firewall rules, DMZ configuration, VLAN isolation. Reference to TPX data center SOC 2 report for physical infrastructure controls.]</w:t>
      </w:r>
    </w:p>
    <w:p>
      <w:pPr>
        <w:pStyle w:val="Heading2"/>
        <w:spacing w:before="280" w:after="160"/>
      </w:pPr>
      <w:r>
        <w:rPr>
          <w:rFonts w:ascii="Arial" w:cs="Arial" w:eastAsia="Arial" w:hAnsi="Arial"/>
          <w:b/>
          <w:bCs/>
          <w:sz w:val="26"/>
          <w:szCs w:val="26"/>
        </w:rPr>
        <w:t xml:space="preserve">6.2 Endpoint Protection</w:t>
      </w:r>
    </w:p>
    <w:p>
      <w:pPr>
        <w:spacing w:after="120"/>
      </w:pPr>
      <w:r>
        <w:rPr>
          <w:rFonts w:ascii="Arial" w:cs="Arial" w:eastAsia="Arial" w:hAnsi="Arial"/>
          <w:i/>
          <w:iCs/>
          <w:color w:val="888888"/>
          <w:sz w:val="20"/>
          <w:szCs w:val="20"/>
        </w:rPr>
        <w:t xml:space="preserve">[CrowdStrike Falcon EDR deployed on all managed endpoints. Configuration standards, update/patch cadence, compliance monitoring.]</w:t>
      </w:r>
    </w:p>
    <w:p>
      <w:pPr>
        <w:pStyle w:val="Heading2"/>
        <w:spacing w:before="280" w:after="160"/>
      </w:pPr>
      <w:r>
        <w:rPr>
          <w:rFonts w:ascii="Arial" w:cs="Arial" w:eastAsia="Arial" w:hAnsi="Arial"/>
          <w:b/>
          <w:bCs/>
          <w:sz w:val="26"/>
          <w:szCs w:val="26"/>
        </w:rPr>
        <w:t xml:space="preserve">6.3 Vulnerability Management</w:t>
      </w:r>
    </w:p>
    <w:p>
      <w:pPr>
        <w:spacing w:after="120"/>
      </w:pPr>
      <w:r>
        <w:rPr>
          <w:rFonts w:ascii="Arial" w:cs="Arial" w:eastAsia="Arial" w:hAnsi="Arial"/>
          <w:i/>
          <w:iCs/>
          <w:color w:val="888888"/>
          <w:sz w:val="20"/>
          <w:szCs w:val="20"/>
        </w:rPr>
        <w:t xml:space="preserve">[Regular vulnerability scanning cadence (monthly minimum), remediation SLAs by severity (critical: 72 hours, high: 7 days, medium: 30 days), patch management procedures.]</w:t>
      </w:r>
    </w:p>
    <w:p>
      <w:pPr>
        <w:pStyle w:val="Heading2"/>
        <w:spacing w:before="280" w:after="160"/>
      </w:pPr>
      <w:r>
        <w:rPr>
          <w:rFonts w:ascii="Arial" w:cs="Arial" w:eastAsia="Arial" w:hAnsi="Arial"/>
          <w:b/>
          <w:bCs/>
          <w:sz w:val="26"/>
          <w:szCs w:val="26"/>
        </w:rPr>
        <w:t xml:space="preserve">6.4 Monitoring and Logging</w:t>
      </w:r>
    </w:p>
    <w:p>
      <w:pPr>
        <w:spacing w:after="120"/>
      </w:pPr>
      <w:r>
        <w:rPr>
          <w:rFonts w:ascii="Arial" w:cs="Arial" w:eastAsia="Arial" w:hAnsi="Arial"/>
          <w:i/>
          <w:iCs/>
          <w:color w:val="888888"/>
          <w:sz w:val="20"/>
          <w:szCs w:val="20"/>
        </w:rPr>
        <w:t xml:space="preserve">[SIEM deployment, log sources aggregated, retention period (minimum 1 year), automated alerting rules, 24/7 SOC monitoring, dark web monitoring for credential exposure.]</w:t>
      </w:r>
    </w:p>
    <w:p>
      <w:pPr>
        <w:pStyle w:val="Heading1"/>
        <w:spacing w:before="360" w:after="200"/>
      </w:pPr>
      <w:r>
        <w:rPr>
          <w:rFonts w:ascii="Arial" w:cs="Arial" w:eastAsia="Arial" w:hAnsi="Arial"/>
          <w:b/>
          <w:bCs/>
          <w:sz w:val="32"/>
          <w:szCs w:val="32"/>
        </w:rPr>
        <w:t xml:space="preserve">7. Vendor and Subcontractor Management</w:t>
      </w:r>
    </w:p>
    <w:p>
      <w:pPr>
        <w:pStyle w:val="Heading2"/>
        <w:spacing w:before="280" w:after="160"/>
      </w:pPr>
      <w:r>
        <w:rPr>
          <w:rFonts w:ascii="Arial" w:cs="Arial" w:eastAsia="Arial" w:hAnsi="Arial"/>
          <w:b/>
          <w:bCs/>
          <w:sz w:val="26"/>
          <w:szCs w:val="26"/>
        </w:rPr>
        <w:t xml:space="preserve">7.1 Vendor Risk Assessment</w:t>
      </w:r>
    </w:p>
    <w:p>
      <w:pPr>
        <w:spacing w:after="120"/>
      </w:pPr>
      <w:r>
        <w:rPr>
          <w:rFonts w:ascii="Arial" w:cs="Arial" w:eastAsia="Arial" w:hAnsi="Arial"/>
          <w:i/>
          <w:iCs/>
          <w:color w:val="888888"/>
          <w:sz w:val="20"/>
          <w:szCs w:val="20"/>
        </w:rPr>
        <w:t xml:space="preserve">[Due diligence process for new vendors/subcontractors: security questionnaire, SOC 2 review, NDA execution, contractual security requirements.]</w:t>
      </w:r>
    </w:p>
    <w:p>
      <w:pPr>
        <w:pStyle w:val="Heading2"/>
        <w:spacing w:before="280" w:after="160"/>
      </w:pPr>
      <w:r>
        <w:rPr>
          <w:rFonts w:ascii="Arial" w:cs="Arial" w:eastAsia="Arial" w:hAnsi="Arial"/>
          <w:b/>
          <w:bCs/>
          <w:sz w:val="26"/>
          <w:szCs w:val="26"/>
        </w:rPr>
        <w:t xml:space="preserve">7.2 Ongoing Vendor Monitoring</w:t>
      </w:r>
    </w:p>
    <w:p>
      <w:pPr>
        <w:spacing w:after="120"/>
      </w:pPr>
      <w:r>
        <w:rPr>
          <w:rFonts w:ascii="Arial" w:cs="Arial" w:eastAsia="Arial" w:hAnsi="Arial"/>
          <w:i/>
          <w:iCs/>
          <w:color w:val="888888"/>
          <w:sz w:val="20"/>
          <w:szCs w:val="20"/>
        </w:rPr>
        <w:t xml:space="preserve">[Annual reassessment of critical vendors. Monitoring for security incidents affecting vendors. Right to audit clauses.]</w:t>
      </w:r>
    </w:p>
    <w:p>
      <w:pPr>
        <w:pStyle w:val="Heading2"/>
        <w:spacing w:before="280" w:after="160"/>
      </w:pPr>
      <w:r>
        <w:rPr>
          <w:rFonts w:ascii="Arial" w:cs="Arial" w:eastAsia="Arial" w:hAnsi="Arial"/>
          <w:b/>
          <w:bCs/>
          <w:sz w:val="26"/>
          <w:szCs w:val="26"/>
        </w:rPr>
        <w:t xml:space="preserve">7.3 TPX Data Center</w:t>
      </w:r>
    </w:p>
    <w:p>
      <w:pPr>
        <w:spacing w:after="120"/>
      </w:pPr>
      <w:r>
        <w:rPr>
          <w:rFonts w:ascii="Arial" w:cs="Arial" w:eastAsia="Arial" w:hAnsi="Arial"/>
          <w:i/>
          <w:iCs/>
          <w:color w:val="888888"/>
          <w:sz w:val="20"/>
          <w:szCs w:val="20"/>
        </w:rPr>
        <w:t xml:space="preserve">[Reference TPX SOC 2 Type II report. Describe the relationship: colocation/hosting, what TPX controls vs. what Technijian controls. Annual review of TPX SOC 2 report.]</w:t>
      </w:r>
    </w:p>
    <w:p>
      <w:pPr>
        <w:pStyle w:val="Heading1"/>
        <w:spacing w:before="360" w:after="200"/>
      </w:pPr>
      <w:r>
        <w:rPr>
          <w:rFonts w:ascii="Arial" w:cs="Arial" w:eastAsia="Arial" w:hAnsi="Arial"/>
          <w:b/>
          <w:bCs/>
          <w:sz w:val="32"/>
          <w:szCs w:val="32"/>
        </w:rPr>
        <w:t xml:space="preserve">8. Human Resources Security</w:t>
      </w:r>
    </w:p>
    <w:p>
      <w:pPr>
        <w:pStyle w:val="Heading2"/>
        <w:spacing w:before="280" w:after="160"/>
      </w:pPr>
      <w:r>
        <w:rPr>
          <w:rFonts w:ascii="Arial" w:cs="Arial" w:eastAsia="Arial" w:hAnsi="Arial"/>
          <w:b/>
          <w:bCs/>
          <w:sz w:val="26"/>
          <w:szCs w:val="26"/>
        </w:rPr>
        <w:t xml:space="preserve">8.1 Background Screening</w:t>
      </w:r>
    </w:p>
    <w:p>
      <w:pPr>
        <w:spacing w:after="120"/>
      </w:pPr>
      <w:r>
        <w:rPr>
          <w:rFonts w:ascii="Arial" w:cs="Arial" w:eastAsia="Arial" w:hAnsi="Arial"/>
          <w:i/>
          <w:iCs/>
          <w:color w:val="888888"/>
          <w:sz w:val="20"/>
          <w:szCs w:val="20"/>
        </w:rPr>
        <w:t xml:space="preserve">[Pre-employment background checks via licensed third-party provider: criminal history, employment verification, education verification, professional references.]</w:t>
      </w:r>
    </w:p>
    <w:p>
      <w:pPr>
        <w:pStyle w:val="Heading2"/>
        <w:spacing w:before="280" w:after="160"/>
      </w:pPr>
      <w:r>
        <w:rPr>
          <w:rFonts w:ascii="Arial" w:cs="Arial" w:eastAsia="Arial" w:hAnsi="Arial"/>
          <w:b/>
          <w:bCs/>
          <w:sz w:val="26"/>
          <w:szCs w:val="26"/>
        </w:rPr>
        <w:t xml:space="preserve">8.2 Security Awareness Training</w:t>
      </w:r>
    </w:p>
    <w:p>
      <w:pPr>
        <w:spacing w:after="120"/>
      </w:pPr>
      <w:r>
        <w:rPr>
          <w:rFonts w:ascii="Arial" w:cs="Arial" w:eastAsia="Arial" w:hAnsi="Arial"/>
          <w:i/>
          <w:iCs/>
          <w:color w:val="888888"/>
          <w:sz w:val="20"/>
          <w:szCs w:val="20"/>
        </w:rPr>
        <w:t xml:space="preserve">[Mandatory security awareness training at onboarding and annually thereafter. Phishing simulation testing. Training completion tracking and documentation.]</w:t>
      </w:r>
    </w:p>
    <w:p>
      <w:pPr>
        <w:pStyle w:val="Heading2"/>
        <w:spacing w:before="280" w:after="160"/>
      </w:pPr>
      <w:r>
        <w:rPr>
          <w:rFonts w:ascii="Arial" w:cs="Arial" w:eastAsia="Arial" w:hAnsi="Arial"/>
          <w:b/>
          <w:bCs/>
          <w:sz w:val="26"/>
          <w:szCs w:val="26"/>
        </w:rPr>
        <w:t xml:space="preserve">8.3 Onboarding and Termination</w:t>
      </w:r>
    </w:p>
    <w:p>
      <w:pPr>
        <w:spacing w:after="120"/>
      </w:pPr>
      <w:r>
        <w:rPr>
          <w:rFonts w:ascii="Arial" w:cs="Arial" w:eastAsia="Arial" w:hAnsi="Arial"/>
          <w:i/>
          <w:iCs/>
          <w:color w:val="888888"/>
          <w:sz w:val="20"/>
          <w:szCs w:val="20"/>
        </w:rPr>
        <w:t xml:space="preserve">[Onboarding: access provisioned per role definition, manager approval required, training completed before client environment access. Termination: accounts disabled within 1 hour, full deprovisioning within 24 hours, asset recovery, termination checklist documented and retained.]</w:t>
      </w:r>
    </w:p>
    <w:p>
      <w:pPr>
        <w:pStyle w:val="Heading2"/>
        <w:spacing w:before="280" w:after="160"/>
      </w:pPr>
      <w:r>
        <w:rPr>
          <w:rFonts w:ascii="Arial" w:cs="Arial" w:eastAsia="Arial" w:hAnsi="Arial"/>
          <w:b/>
          <w:bCs/>
          <w:sz w:val="26"/>
          <w:szCs w:val="26"/>
        </w:rPr>
        <w:t xml:space="preserve">8.4 Acceptable Use Policy</w:t>
      </w:r>
    </w:p>
    <w:p>
      <w:pPr>
        <w:spacing w:after="120"/>
      </w:pPr>
      <w:r>
        <w:rPr>
          <w:rFonts w:ascii="Arial" w:cs="Arial" w:eastAsia="Arial" w:hAnsi="Arial"/>
          <w:i/>
          <w:iCs/>
          <w:color w:val="888888"/>
          <w:sz w:val="20"/>
          <w:szCs w:val="20"/>
        </w:rPr>
        <w:t xml:space="preserve">[Employee acceptable use policy for company systems, client systems, email, internet, mobile devices. Signed acknowledgment required.]</w:t>
      </w:r>
    </w:p>
    <w:p>
      <w:pPr>
        <w:pStyle w:val="Heading1"/>
        <w:spacing w:before="360" w:after="200"/>
      </w:pPr>
      <w:r>
        <w:rPr>
          <w:rFonts w:ascii="Arial" w:cs="Arial" w:eastAsia="Arial" w:hAnsi="Arial"/>
          <w:b/>
          <w:bCs/>
          <w:sz w:val="32"/>
          <w:szCs w:val="32"/>
        </w:rPr>
        <w:t xml:space="preserve">9. Physical Security</w:t>
      </w:r>
    </w:p>
    <w:p>
      <w:pPr>
        <w:pStyle w:val="Heading2"/>
        <w:spacing w:before="280" w:after="160"/>
      </w:pPr>
      <w:r>
        <w:rPr>
          <w:rFonts w:ascii="Arial" w:cs="Arial" w:eastAsia="Arial" w:hAnsi="Arial"/>
          <w:b/>
          <w:bCs/>
          <w:sz w:val="26"/>
          <w:szCs w:val="26"/>
        </w:rPr>
        <w:t xml:space="preserve">9.1 Technijian Office (HQ)</w:t>
      </w:r>
    </w:p>
    <w:p>
      <w:pPr>
        <w:spacing w:after="120"/>
      </w:pPr>
      <w:r>
        <w:rPr>
          <w:rFonts w:ascii="Arial" w:cs="Arial" w:eastAsia="Arial" w:hAnsi="Arial"/>
          <w:i/>
          <w:iCs/>
          <w:color w:val="888888"/>
          <w:sz w:val="20"/>
          <w:szCs w:val="20"/>
        </w:rPr>
        <w:t xml:space="preserve">[Physical access controls for 18 Technology Dr, Suite 141: keyed/badge access, visitor procedures, clean desk policy, secure disposal of physical media.]</w:t>
      </w:r>
    </w:p>
    <w:p>
      <w:pPr>
        <w:pStyle w:val="Heading2"/>
        <w:spacing w:before="280" w:after="160"/>
      </w:pPr>
      <w:r>
        <w:rPr>
          <w:rFonts w:ascii="Arial" w:cs="Arial" w:eastAsia="Arial" w:hAnsi="Arial"/>
          <w:b/>
          <w:bCs/>
          <w:sz w:val="26"/>
          <w:szCs w:val="26"/>
        </w:rPr>
        <w:t xml:space="preserve">9.2 Data Center (TPX)</w:t>
      </w:r>
    </w:p>
    <w:p>
      <w:pPr>
        <w:spacing w:after="120"/>
      </w:pPr>
      <w:r>
        <w:rPr>
          <w:rFonts w:ascii="Arial" w:cs="Arial" w:eastAsia="Arial" w:hAnsi="Arial"/>
          <w:i/>
          <w:iCs/>
          <w:color w:val="888888"/>
          <w:sz w:val="20"/>
          <w:szCs w:val="20"/>
        </w:rPr>
        <w:t xml:space="preserve">[Reference TPX SOC 2 report for data center physical security: biometric access, 24/7 surveillance, environmental controls, redundant power/cooling.]</w:t>
      </w:r>
    </w:p>
    <w:p>
      <w:pPr>
        <w:pStyle w:val="Heading1"/>
        <w:spacing w:before="360" w:after="200"/>
      </w:pPr>
      <w:r>
        <w:rPr>
          <w:rFonts w:ascii="Arial" w:cs="Arial" w:eastAsia="Arial" w:hAnsi="Arial"/>
          <w:b/>
          <w:bCs/>
          <w:sz w:val="32"/>
          <w:szCs w:val="32"/>
        </w:rPr>
        <w:t xml:space="preserve">10. Compliance and Audit</w:t>
      </w:r>
    </w:p>
    <w:p>
      <w:pPr>
        <w:pStyle w:val="Heading2"/>
        <w:spacing w:before="280" w:after="160"/>
      </w:pPr>
      <w:r>
        <w:rPr>
          <w:rFonts w:ascii="Arial" w:cs="Arial" w:eastAsia="Arial" w:hAnsi="Arial"/>
          <w:b/>
          <w:bCs/>
          <w:sz w:val="26"/>
          <w:szCs w:val="26"/>
        </w:rPr>
        <w:t xml:space="preserve">10.1 Regulatory Compliance</w:t>
      </w:r>
    </w:p>
    <w:p>
      <w:pPr>
        <w:spacing w:after="120"/>
      </w:pPr>
      <w:r>
        <w:rPr>
          <w:rFonts w:ascii="Arial" w:cs="Arial" w:eastAsia="Arial" w:hAnsi="Arial"/>
          <w:i/>
          <w:iCs/>
          <w:color w:val="888888"/>
          <w:sz w:val="20"/>
          <w:szCs w:val="20"/>
        </w:rPr>
        <w:t xml:space="preserve">[How Technijian monitors and maintains compliance with applicable regulations: HIPAA, SOC 2, PCI-DSS, FINRA, SEC, CCPA/CPRA, FTC Safeguards Rule, GDPR where applicable.]</w:t>
      </w:r>
    </w:p>
    <w:p>
      <w:pPr>
        <w:pStyle w:val="Heading2"/>
        <w:spacing w:before="280" w:after="160"/>
      </w:pPr>
      <w:r>
        <w:rPr>
          <w:rFonts w:ascii="Arial" w:cs="Arial" w:eastAsia="Arial" w:hAnsi="Arial"/>
          <w:b/>
          <w:bCs/>
          <w:sz w:val="26"/>
          <w:szCs w:val="26"/>
        </w:rPr>
        <w:t xml:space="preserve">10.2 Internal Audits</w:t>
      </w:r>
    </w:p>
    <w:p>
      <w:pPr>
        <w:spacing w:after="120"/>
      </w:pPr>
      <w:r>
        <w:rPr>
          <w:rFonts w:ascii="Arial" w:cs="Arial" w:eastAsia="Arial" w:hAnsi="Arial"/>
          <w:i/>
          <w:iCs/>
          <w:color w:val="888888"/>
          <w:sz w:val="20"/>
          <w:szCs w:val="20"/>
        </w:rPr>
        <w:t xml:space="preserve">[Annual internal review of security controls and policy compliance. Findings documented and remediated with target dates.]</w:t>
      </w:r>
    </w:p>
    <w:p>
      <w:pPr>
        <w:pStyle w:val="Heading2"/>
        <w:spacing w:before="280" w:after="160"/>
      </w:pPr>
      <w:r>
        <w:rPr>
          <w:rFonts w:ascii="Arial" w:cs="Arial" w:eastAsia="Arial" w:hAnsi="Arial"/>
          <w:b/>
          <w:bCs/>
          <w:sz w:val="26"/>
          <w:szCs w:val="26"/>
        </w:rPr>
        <w:t xml:space="preserve">10.3 External Audits</w:t>
      </w:r>
    </w:p>
    <w:p>
      <w:pPr>
        <w:spacing w:after="120"/>
      </w:pPr>
      <w:r>
        <w:rPr>
          <w:rFonts w:ascii="Arial" w:cs="Arial" w:eastAsia="Arial" w:hAnsi="Arial"/>
          <w:i/>
          <w:iCs/>
          <w:color w:val="888888"/>
          <w:sz w:val="20"/>
          <w:szCs w:val="20"/>
        </w:rPr>
        <w:t xml:space="preserve">[SOC 2 Type II audit cycle. Client and regulator audit cooperation. TPX SOC 2 report review.]</w:t>
      </w:r>
    </w:p>
    <w:p>
      <w:pPr>
        <w:pStyle w:val="Heading1"/>
        <w:spacing w:before="360" w:after="200"/>
      </w:pPr>
      <w:r>
        <w:rPr>
          <w:rFonts w:ascii="Arial" w:cs="Arial" w:eastAsia="Arial" w:hAnsi="Arial"/>
          <w:b/>
          <w:bCs/>
          <w:sz w:val="32"/>
          <w:szCs w:val="32"/>
        </w:rPr>
        <w:t xml:space="preserve">11. Program Maintenance</w:t>
      </w:r>
    </w:p>
    <w:p>
      <w:pPr>
        <w:pStyle w:val="Heading2"/>
        <w:spacing w:before="280" w:after="160"/>
      </w:pPr>
      <w:r>
        <w:rPr>
          <w:rFonts w:ascii="Arial" w:cs="Arial" w:eastAsia="Arial" w:hAnsi="Arial"/>
          <w:b/>
          <w:bCs/>
          <w:sz w:val="26"/>
          <w:szCs w:val="26"/>
        </w:rPr>
        <w:t xml:space="preserve">11.1 Annual Review</w:t>
      </w:r>
    </w:p>
    <w:p>
      <w:pPr>
        <w:spacing w:after="120"/>
      </w:pPr>
      <w:r>
        <w:rPr>
          <w:rFonts w:ascii="Arial" w:cs="Arial" w:eastAsia="Arial" w:hAnsi="Arial"/>
          <w:i/>
          <w:iCs/>
          <w:color w:val="888888"/>
          <w:sz w:val="20"/>
          <w:szCs w:val="20"/>
        </w:rPr>
        <w:t xml:space="preserve">[This document is reviewed and approved annually by [Security Officer] and [CEO]. Review includes regulatory updates, incident lessons learned, risk assessment findings, and technology changes.]</w:t>
      </w:r>
    </w:p>
    <w:p>
      <w:pPr>
        <w:pStyle w:val="Heading2"/>
        <w:spacing w:before="280" w:after="160"/>
      </w:pPr>
      <w:r>
        <w:rPr>
          <w:rFonts w:ascii="Arial" w:cs="Arial" w:eastAsia="Arial" w:hAnsi="Arial"/>
          <w:b/>
          <w:bCs/>
          <w:sz w:val="26"/>
          <w:szCs w:val="26"/>
        </w:rPr>
        <w:t xml:space="preserve">11.2 Version History</w:t>
      </w:r>
    </w:p>
    <w:p>
      <w:pPr>
        <w:spacing w:after="120"/>
      </w:pPr>
      <w:r>
        <w:rPr>
          <w:rFonts w:ascii="Arial" w:cs="Arial" w:eastAsia="Arial" w:hAnsi="Arial"/>
          <w:i/>
          <w:iCs/>
          <w:color w:val="888888"/>
          <w:sz w:val="20"/>
          <w:szCs w:val="20"/>
        </w:rPr>
        <w:t xml:space="preserve">[Version history table: version number, date, author, description of changes.]</w:t>
      </w:r>
    </w:p>
    <w:p>
      <w:r>
        <w:br w:type="page"/>
      </w:r>
    </w:p>
    <w:p>
      <w:pPr>
        <w:pStyle w:val="Heading1"/>
        <w:spacing w:before="360" w:after="200"/>
      </w:pPr>
      <w:r>
        <w:rPr>
          <w:rFonts w:ascii="Arial" w:cs="Arial" w:eastAsia="Arial" w:hAnsi="Arial"/>
          <w:b/>
          <w:bCs/>
          <w:sz w:val="32"/>
          <w:szCs w:val="32"/>
        </w:rPr>
        <w:t xml:space="preserve">Technijian Corporation</w:t>
      </w:r>
    </w:p>
    <w:p>
      <w:pPr>
        <w:spacing w:after="80"/>
        <w:jc w:val="center"/>
      </w:pPr>
      <w:r>
        <w:rPr>
          <w:rFonts w:ascii="Arial" w:cs="Arial" w:eastAsia="Arial" w:hAnsi="Arial"/>
          <w:b/>
          <w:bCs/>
          <w:sz w:val="36"/>
          <w:szCs w:val="36"/>
        </w:rPr>
        <w:t xml:space="preserve">Incident Response Plan (IRP)</w:t>
      </w:r>
    </w:p>
    <w:p>
      <w:pPr>
        <w:spacing w:after="80"/>
        <w:jc w:val="center"/>
      </w:pPr>
      <w:r>
        <w:rPr>
          <w:rFonts w:ascii="Arial" w:cs="Arial" w:eastAsia="Arial" w:hAnsi="Arial"/>
          <w:color w:val="666666"/>
          <w:sz w:val="20"/>
          <w:szCs w:val="20"/>
        </w:rPr>
        <w:t xml:space="preserve">Version 1.0 | March 6, 2026</w:t>
      </w:r>
    </w:p>
    <w:p>
      <w:pPr>
        <w:spacing w:after="80"/>
        <w:jc w:val="center"/>
      </w:pPr>
      <w:r>
        <w:rPr>
          <w:rFonts w:ascii="Arial" w:cs="Arial" w:eastAsia="Arial" w:hAnsi="Arial"/>
          <w:b/>
          <w:bCs/>
          <w:color w:val="CC0000"/>
          <w:sz w:val="20"/>
          <w:szCs w:val="20"/>
        </w:rPr>
        <w:t xml:space="preserve">Classification: Confidential</w:t>
      </w:r>
    </w:p>
    <w:p>
      <w:pPr>
        <w:spacing w:after="80"/>
      </w:pPr>
    </w:p>
    <w:p>
      <w:pPr>
        <w:spacing w:after="120"/>
      </w:pPr>
      <w:r>
        <w:rPr>
          <w:rFonts w:ascii="Arial" w:cs="Arial" w:eastAsia="Arial" w:hAnsi="Arial"/>
          <w:sz w:val="20"/>
          <w:szCs w:val="20"/>
        </w:rPr>
        <w:t xml:space="preserve">Document Owner: _________________</w:t>
      </w:r>
    </w:p>
    <w:p>
      <w:pPr>
        <w:spacing w:after="120"/>
      </w:pPr>
      <w:r>
        <w:rPr>
          <w:rFonts w:ascii="Arial" w:cs="Arial" w:eastAsia="Arial" w:hAnsi="Arial"/>
          <w:sz w:val="20"/>
          <w:szCs w:val="20"/>
        </w:rPr>
        <w:t xml:space="preserve">Approved By: _________________</w:t>
      </w:r>
    </w:p>
    <w:p>
      <w:pPr>
        <w:spacing w:after="120"/>
      </w:pPr>
      <w:r>
        <w:rPr>
          <w:rFonts w:ascii="Arial" w:cs="Arial" w:eastAsia="Arial" w:hAnsi="Arial"/>
          <w:sz w:val="20"/>
          <w:szCs w:val="20"/>
        </w:rPr>
        <w:t xml:space="preserve">Next Review Date: _________________</w:t>
      </w:r>
    </w:p>
    <w:p>
      <w:r>
        <w:br w:type="page"/>
      </w:r>
    </w:p>
    <w:p>
      <w:pPr>
        <w:pStyle w:val="Heading1"/>
        <w:spacing w:before="360" w:after="200"/>
      </w:pPr>
      <w:r>
        <w:rPr>
          <w:rFonts w:ascii="Arial" w:cs="Arial" w:eastAsia="Arial" w:hAnsi="Arial"/>
          <w:b/>
          <w:bCs/>
          <w:sz w:val="32"/>
          <w:szCs w:val="32"/>
        </w:rPr>
        <w:t xml:space="preserve">1. Purpose and Scope</w:t>
      </w:r>
    </w:p>
    <w:p>
      <w:pPr>
        <w:spacing w:after="120"/>
      </w:pPr>
      <w:r>
        <w:rPr>
          <w:rFonts w:ascii="Arial" w:cs="Arial" w:eastAsia="Arial" w:hAnsi="Arial"/>
          <w:i/>
          <w:iCs/>
          <w:color w:val="888888"/>
          <w:sz w:val="20"/>
          <w:szCs w:val="20"/>
        </w:rPr>
        <w:t xml:space="preserve">[Define the purpose: establish procedures for detecting, responding to, containing, eradicating, and recovering from security incidents affecting Technijian’s internal systems or client environments.]</w:t>
      </w:r>
    </w:p>
    <w:p>
      <w:pPr>
        <w:pStyle w:val="Heading2"/>
        <w:spacing w:before="280" w:after="160"/>
      </w:pPr>
      <w:r>
        <w:rPr>
          <w:rFonts w:ascii="Arial" w:cs="Arial" w:eastAsia="Arial" w:hAnsi="Arial"/>
          <w:b/>
          <w:bCs/>
          <w:sz w:val="26"/>
          <w:szCs w:val="26"/>
        </w:rPr>
        <w:t xml:space="preserve">1.1 Scope</w:t>
      </w:r>
    </w:p>
    <w:p>
      <w:pPr>
        <w:spacing w:after="120"/>
      </w:pPr>
      <w:r>
        <w:rPr>
          <w:rFonts w:ascii="Arial" w:cs="Arial" w:eastAsia="Arial" w:hAnsi="Arial"/>
          <w:i/>
          <w:iCs/>
          <w:color w:val="888888"/>
          <w:sz w:val="20"/>
          <w:szCs w:val="20"/>
        </w:rPr>
        <w:t xml:space="preserve">[Covers all Technijian systems, client managed environments, employee devices, cloud services, and third-party integrations.]</w:t>
      </w:r>
    </w:p>
    <w:p>
      <w:pPr>
        <w:pStyle w:val="Heading2"/>
        <w:spacing w:before="280" w:after="160"/>
      </w:pPr>
      <w:r>
        <w:rPr>
          <w:rFonts w:ascii="Arial" w:cs="Arial" w:eastAsia="Arial" w:hAnsi="Arial"/>
          <w:b/>
          <w:bCs/>
          <w:sz w:val="26"/>
          <w:szCs w:val="26"/>
        </w:rPr>
        <w:t xml:space="preserve">1.2 Incident Definition</w:t>
      </w:r>
    </w:p>
    <w:p>
      <w:pPr>
        <w:spacing w:after="120"/>
      </w:pPr>
      <w:r>
        <w:rPr>
          <w:rFonts w:ascii="Arial" w:cs="Arial" w:eastAsia="Arial" w:hAnsi="Arial"/>
          <w:i/>
          <w:iCs/>
          <w:color w:val="888888"/>
          <w:sz w:val="20"/>
          <w:szCs w:val="20"/>
        </w:rPr>
        <w:t xml:space="preserve">[Define what constitutes a security incident: unauthorized access, data breach, malware infection, ransomware, denial of service, insider threat, policy violation, lost/stolen device, credential compromise, etc.]</w:t>
      </w:r>
    </w:p>
    <w:p>
      <w:pPr>
        <w:pStyle w:val="Heading1"/>
        <w:spacing w:before="360" w:after="200"/>
      </w:pPr>
      <w:r>
        <w:rPr>
          <w:rFonts w:ascii="Arial" w:cs="Arial" w:eastAsia="Arial" w:hAnsi="Arial"/>
          <w:b/>
          <w:bCs/>
          <w:sz w:val="32"/>
          <w:szCs w:val="32"/>
        </w:rPr>
        <w:t xml:space="preserve">2. Incident Response Team</w:t>
      </w:r>
    </w:p>
    <w:p>
      <w:pPr>
        <w:pStyle w:val="Heading2"/>
        <w:spacing w:before="280" w:after="160"/>
      </w:pPr>
      <w:r>
        <w:rPr>
          <w:rFonts w:ascii="Arial" w:cs="Arial" w:eastAsia="Arial" w:hAnsi="Arial"/>
          <w:b/>
          <w:bCs/>
          <w:sz w:val="26"/>
          <w:szCs w:val="26"/>
        </w:rPr>
        <w:t xml:space="preserve">2.1 Team Composition</w:t>
      </w:r>
    </w:p>
    <w:p>
      <w:pPr>
        <w:spacing w:after="120"/>
      </w:pPr>
      <w:r>
        <w:rPr>
          <w:rFonts w:ascii="Arial" w:cs="Arial" w:eastAsia="Arial" w:hAnsi="Arial"/>
          <w:i/>
          <w:iCs/>
          <w:color w:val="888888"/>
          <w:sz w:val="20"/>
          <w:szCs w:val="20"/>
        </w:rPr>
        <w:t xml:space="preserve">[Define the IRT: Incident Commander (Security Officer), Technical Lead, Communications Lead, Legal/Compliance Liaison, and Executive Sponsor (CEO). Include after-hours contact information.]</w:t>
      </w:r>
    </w:p>
    <w:p>
      <w:pPr>
        <w:pStyle w:val="Heading2"/>
        <w:spacing w:before="280" w:after="160"/>
      </w:pPr>
      <w:r>
        <w:rPr>
          <w:rFonts w:ascii="Arial" w:cs="Arial" w:eastAsia="Arial" w:hAnsi="Arial"/>
          <w:b/>
          <w:bCs/>
          <w:sz w:val="26"/>
          <w:szCs w:val="26"/>
        </w:rPr>
        <w:t xml:space="preserve">2.2 Roles and Responsibilities</w:t>
      </w:r>
    </w:p>
    <w:p>
      <w:pPr>
        <w:spacing w:after="120"/>
      </w:pPr>
      <w:r>
        <w:rPr>
          <w:rFonts w:ascii="Arial" w:cs="Arial" w:eastAsia="Arial" w:hAnsi="Arial"/>
          <w:i/>
          <w:iCs/>
          <w:color w:val="888888"/>
          <w:sz w:val="20"/>
          <w:szCs w:val="20"/>
        </w:rPr>
        <w:t xml:space="preserve">[Define each role’s responsibilities during an incident. Who makes containment decisions, who communicates with clients, who engages legal counsel, who interfaces with regulators.]</w:t>
      </w:r>
    </w:p>
    <w:p>
      <w:pPr>
        <w:pStyle w:val="Heading2"/>
        <w:spacing w:before="280" w:after="160"/>
      </w:pPr>
      <w:r>
        <w:rPr>
          <w:rFonts w:ascii="Arial" w:cs="Arial" w:eastAsia="Arial" w:hAnsi="Arial"/>
          <w:b/>
          <w:bCs/>
          <w:sz w:val="26"/>
          <w:szCs w:val="26"/>
        </w:rPr>
        <w:t xml:space="preserve">2.3 External Resources</w:t>
      </w:r>
    </w:p>
    <w:p>
      <w:pPr>
        <w:spacing w:after="120"/>
      </w:pPr>
      <w:r>
        <w:rPr>
          <w:rFonts w:ascii="Arial" w:cs="Arial" w:eastAsia="Arial" w:hAnsi="Arial"/>
          <w:i/>
          <w:iCs/>
          <w:color w:val="888888"/>
          <w:sz w:val="20"/>
          <w:szCs w:val="20"/>
        </w:rPr>
        <w:t xml:space="preserve">[Pre-arranged relationships: external forensics firm, cyber insurance carrier claims process, outside legal counsel, law enforcement contacts (FBI IC3, local field office).]</w:t>
      </w:r>
    </w:p>
    <w:p>
      <w:pPr>
        <w:pStyle w:val="Heading1"/>
        <w:spacing w:before="360" w:after="200"/>
      </w:pPr>
      <w:r>
        <w:rPr>
          <w:rFonts w:ascii="Arial" w:cs="Arial" w:eastAsia="Arial" w:hAnsi="Arial"/>
          <w:b/>
          <w:bCs/>
          <w:sz w:val="32"/>
          <w:szCs w:val="32"/>
        </w:rPr>
        <w:t xml:space="preserve">3. Incident Classification and Severity</w:t>
      </w:r>
    </w:p>
    <w:p>
      <w:pPr>
        <w:pStyle w:val="Heading2"/>
        <w:spacing w:before="280" w:after="160"/>
      </w:pPr>
      <w:r>
        <w:rPr>
          <w:rFonts w:ascii="Arial" w:cs="Arial" w:eastAsia="Arial" w:hAnsi="Arial"/>
          <w:b/>
          <w:bCs/>
          <w:sz w:val="26"/>
          <w:szCs w:val="26"/>
        </w:rPr>
        <w:t xml:space="preserve">3.1 Severity Levels</w:t>
      </w:r>
    </w:p>
    <w:p>
      <w:pPr>
        <w:spacing w:after="120"/>
      </w:pPr>
      <w:r>
        <w:rPr>
          <w:rFonts w:ascii="Arial" w:cs="Arial" w:eastAsia="Arial" w:hAnsi="Arial"/>
          <w:i/>
          <w:iCs/>
          <w:color w:val="888888"/>
          <w:sz w:val="20"/>
          <w:szCs w:val="20"/>
        </w:rPr>
        <w:t xml:space="preserve">[Define severity tiers: Critical (confirmed breach of client data, ransomware), High (active intrusion, credential compromise), Medium (malware on single endpoint, policy violation), Low (failed attack attempt, phishing received but not clicked). Map each severity to response timeframes and escalation requirements.]</w:t>
      </w:r>
    </w:p>
    <w:p>
      <w:pPr>
        <w:pStyle w:val="Heading2"/>
        <w:spacing w:before="280" w:after="160"/>
      </w:pPr>
      <w:r>
        <w:rPr>
          <w:rFonts w:ascii="Arial" w:cs="Arial" w:eastAsia="Arial" w:hAnsi="Arial"/>
          <w:b/>
          <w:bCs/>
          <w:sz w:val="26"/>
          <w:szCs w:val="26"/>
        </w:rPr>
        <w:t xml:space="preserve">3.2 Classification Criteria</w:t>
      </w:r>
    </w:p>
    <w:p>
      <w:pPr>
        <w:spacing w:after="120"/>
      </w:pPr>
      <w:r>
        <w:rPr>
          <w:rFonts w:ascii="Arial" w:cs="Arial" w:eastAsia="Arial" w:hAnsi="Arial"/>
          <w:i/>
          <w:iCs/>
          <w:color w:val="888888"/>
          <w:sz w:val="20"/>
          <w:szCs w:val="20"/>
        </w:rPr>
        <w:t xml:space="preserve">[Criteria for classifying incidents: data types affected, number of records, systems impacted, client impact, regulatory notification triggers, reputational impact.]</w:t>
      </w:r>
    </w:p>
    <w:p>
      <w:pPr>
        <w:pStyle w:val="Heading1"/>
        <w:spacing w:before="360" w:after="200"/>
      </w:pPr>
      <w:r>
        <w:rPr>
          <w:rFonts w:ascii="Arial" w:cs="Arial" w:eastAsia="Arial" w:hAnsi="Arial"/>
          <w:b/>
          <w:bCs/>
          <w:sz w:val="32"/>
          <w:szCs w:val="32"/>
        </w:rPr>
        <w:t xml:space="preserve">4. Detection and Identification</w:t>
      </w:r>
    </w:p>
    <w:p>
      <w:pPr>
        <w:pStyle w:val="Heading2"/>
        <w:spacing w:before="280" w:after="160"/>
      </w:pPr>
      <w:r>
        <w:rPr>
          <w:rFonts w:ascii="Arial" w:cs="Arial" w:eastAsia="Arial" w:hAnsi="Arial"/>
          <w:b/>
          <w:bCs/>
          <w:sz w:val="26"/>
          <w:szCs w:val="26"/>
        </w:rPr>
        <w:t xml:space="preserve">4.1 Detection Sources</w:t>
      </w:r>
    </w:p>
    <w:p>
      <w:pPr>
        <w:spacing w:after="120"/>
      </w:pPr>
      <w:r>
        <w:rPr>
          <w:rFonts w:ascii="Arial" w:cs="Arial" w:eastAsia="Arial" w:hAnsi="Arial"/>
          <w:i/>
          <w:iCs/>
          <w:color w:val="888888"/>
          <w:sz w:val="20"/>
          <w:szCs w:val="20"/>
        </w:rPr>
        <w:t xml:space="preserve">[How incidents are detected: SIEM alerts, CrowdStrike EDR alerts, dark web monitoring alerts, client reports, employee reports, vulnerability scan findings, third-party notifications.]</w:t>
      </w:r>
    </w:p>
    <w:p>
      <w:pPr>
        <w:pStyle w:val="Heading2"/>
        <w:spacing w:before="280" w:after="160"/>
      </w:pPr>
      <w:r>
        <w:rPr>
          <w:rFonts w:ascii="Arial" w:cs="Arial" w:eastAsia="Arial" w:hAnsi="Arial"/>
          <w:b/>
          <w:bCs/>
          <w:sz w:val="26"/>
          <w:szCs w:val="26"/>
        </w:rPr>
        <w:t xml:space="preserve">4.2 Initial Triage</w:t>
      </w:r>
    </w:p>
    <w:p>
      <w:pPr>
        <w:spacing w:after="120"/>
      </w:pPr>
      <w:r>
        <w:rPr>
          <w:rFonts w:ascii="Arial" w:cs="Arial" w:eastAsia="Arial" w:hAnsi="Arial"/>
          <w:i/>
          <w:iCs/>
          <w:color w:val="888888"/>
          <w:sz w:val="20"/>
          <w:szCs w:val="20"/>
        </w:rPr>
        <w:t xml:space="preserve">[Tier 1 SOC analyst performs initial triage within 15 minutes of alert. Determine if event is a true positive, classify severity, escalate per severity matrix.]</w:t>
      </w:r>
    </w:p>
    <w:p>
      <w:pPr>
        <w:pStyle w:val="Heading2"/>
        <w:spacing w:before="280" w:after="160"/>
      </w:pPr>
      <w:r>
        <w:rPr>
          <w:rFonts w:ascii="Arial" w:cs="Arial" w:eastAsia="Arial" w:hAnsi="Arial"/>
          <w:b/>
          <w:bCs/>
          <w:sz w:val="26"/>
          <w:szCs w:val="26"/>
        </w:rPr>
        <w:t xml:space="preserve">4.3 Documentation</w:t>
      </w:r>
    </w:p>
    <w:p>
      <w:pPr>
        <w:spacing w:after="120"/>
      </w:pPr>
      <w:r>
        <w:rPr>
          <w:rFonts w:ascii="Arial" w:cs="Arial" w:eastAsia="Arial" w:hAnsi="Arial"/>
          <w:i/>
          <w:iCs/>
          <w:color w:val="888888"/>
          <w:sz w:val="20"/>
          <w:szCs w:val="20"/>
        </w:rPr>
        <w:t xml:space="preserve">[All incidents logged in incident tracking system from first detection. Time-stamped entries for every action taken. Evidence preservation initiated immediately.]</w:t>
      </w:r>
    </w:p>
    <w:p>
      <w:pPr>
        <w:pStyle w:val="Heading1"/>
        <w:spacing w:before="360" w:after="200"/>
      </w:pPr>
      <w:r>
        <w:rPr>
          <w:rFonts w:ascii="Arial" w:cs="Arial" w:eastAsia="Arial" w:hAnsi="Arial"/>
          <w:b/>
          <w:bCs/>
          <w:sz w:val="32"/>
          <w:szCs w:val="32"/>
        </w:rPr>
        <w:t xml:space="preserve">5. Containment</w:t>
      </w:r>
    </w:p>
    <w:p>
      <w:pPr>
        <w:pStyle w:val="Heading2"/>
        <w:spacing w:before="280" w:after="160"/>
      </w:pPr>
      <w:r>
        <w:rPr>
          <w:rFonts w:ascii="Arial" w:cs="Arial" w:eastAsia="Arial" w:hAnsi="Arial"/>
          <w:b/>
          <w:bCs/>
          <w:sz w:val="26"/>
          <w:szCs w:val="26"/>
        </w:rPr>
        <w:t xml:space="preserve">5.1 Short-Term Containment</w:t>
      </w:r>
    </w:p>
    <w:p>
      <w:pPr>
        <w:spacing w:after="120"/>
      </w:pPr>
      <w:r>
        <w:rPr>
          <w:rFonts w:ascii="Arial" w:cs="Arial" w:eastAsia="Arial" w:hAnsi="Arial"/>
          <w:i/>
          <w:iCs/>
          <w:color w:val="888888"/>
          <w:sz w:val="20"/>
          <w:szCs w:val="20"/>
        </w:rPr>
        <w:t xml:space="preserve">[Immediate actions to stop the spread: isolate affected systems, disable compromised accounts, block malicious IPs/domains, preserve forensic evidence before remediation. Tier 2 senior engineer engaged within 1 hour.]</w:t>
      </w:r>
    </w:p>
    <w:p>
      <w:pPr>
        <w:pStyle w:val="Heading2"/>
        <w:spacing w:before="280" w:after="160"/>
      </w:pPr>
      <w:r>
        <w:rPr>
          <w:rFonts w:ascii="Arial" w:cs="Arial" w:eastAsia="Arial" w:hAnsi="Arial"/>
          <w:b/>
          <w:bCs/>
          <w:sz w:val="26"/>
          <w:szCs w:val="26"/>
        </w:rPr>
        <w:t xml:space="preserve">5.2 Long-Term Containment</w:t>
      </w:r>
    </w:p>
    <w:p>
      <w:pPr>
        <w:spacing w:after="120"/>
      </w:pPr>
      <w:r>
        <w:rPr>
          <w:rFonts w:ascii="Arial" w:cs="Arial" w:eastAsia="Arial" w:hAnsi="Arial"/>
          <w:i/>
          <w:iCs/>
          <w:color w:val="888888"/>
          <w:sz w:val="20"/>
          <w:szCs w:val="20"/>
        </w:rPr>
        <w:t xml:space="preserve">[Sustained containment while investigation continues: stand up clean systems, apply temporary compensating controls, enhanced monitoring on related systems.]</w:t>
      </w:r>
    </w:p>
    <w:p>
      <w:pPr>
        <w:pStyle w:val="Heading2"/>
        <w:spacing w:before="280" w:after="160"/>
      </w:pPr>
      <w:r>
        <w:rPr>
          <w:rFonts w:ascii="Arial" w:cs="Arial" w:eastAsia="Arial" w:hAnsi="Arial"/>
          <w:b/>
          <w:bCs/>
          <w:sz w:val="26"/>
          <w:szCs w:val="26"/>
        </w:rPr>
        <w:t xml:space="preserve">5.3 Evidence Preservation</w:t>
      </w:r>
    </w:p>
    <w:p>
      <w:pPr>
        <w:spacing w:after="120"/>
      </w:pPr>
      <w:r>
        <w:rPr>
          <w:rFonts w:ascii="Arial" w:cs="Arial" w:eastAsia="Arial" w:hAnsi="Arial"/>
          <w:i/>
          <w:iCs/>
          <w:color w:val="888888"/>
          <w:sz w:val="20"/>
          <w:szCs w:val="20"/>
        </w:rPr>
        <w:t xml:space="preserve">[Chain-of-custody procedures: disk images, memory captures, log exports, screenshot documentation. Storage in secure, access-controlled location. Procedures for working with external forensics.]</w:t>
      </w:r>
    </w:p>
    <w:p>
      <w:pPr>
        <w:pStyle w:val="Heading1"/>
        <w:spacing w:before="360" w:after="200"/>
      </w:pPr>
      <w:r>
        <w:rPr>
          <w:rFonts w:ascii="Arial" w:cs="Arial" w:eastAsia="Arial" w:hAnsi="Arial"/>
          <w:b/>
          <w:bCs/>
          <w:sz w:val="32"/>
          <w:szCs w:val="32"/>
        </w:rPr>
        <w:t xml:space="preserve">6. Eradication</w:t>
      </w:r>
    </w:p>
    <w:p>
      <w:pPr>
        <w:pStyle w:val="Heading2"/>
        <w:spacing w:before="280" w:after="160"/>
      </w:pPr>
      <w:r>
        <w:rPr>
          <w:rFonts w:ascii="Arial" w:cs="Arial" w:eastAsia="Arial" w:hAnsi="Arial"/>
          <w:b/>
          <w:bCs/>
          <w:sz w:val="26"/>
          <w:szCs w:val="26"/>
        </w:rPr>
        <w:t xml:space="preserve">6.1 Root Cause Analysis</w:t>
      </w:r>
    </w:p>
    <w:p>
      <w:pPr>
        <w:spacing w:after="120"/>
      </w:pPr>
      <w:r>
        <w:rPr>
          <w:rFonts w:ascii="Arial" w:cs="Arial" w:eastAsia="Arial" w:hAnsi="Arial"/>
          <w:i/>
          <w:iCs/>
          <w:color w:val="888888"/>
          <w:sz w:val="20"/>
          <w:szCs w:val="20"/>
        </w:rPr>
        <w:t xml:space="preserve">[Identify how the incident occurred: attack vector, exploited vulnerability, compromised credential, insider action. Document findings.]</w:t>
      </w:r>
    </w:p>
    <w:p>
      <w:pPr>
        <w:pStyle w:val="Heading2"/>
        <w:spacing w:before="280" w:after="160"/>
      </w:pPr>
      <w:r>
        <w:rPr>
          <w:rFonts w:ascii="Arial" w:cs="Arial" w:eastAsia="Arial" w:hAnsi="Arial"/>
          <w:b/>
          <w:bCs/>
          <w:sz w:val="26"/>
          <w:szCs w:val="26"/>
        </w:rPr>
        <w:t xml:space="preserve">6.2 Remediation Actions</w:t>
      </w:r>
    </w:p>
    <w:p>
      <w:pPr>
        <w:spacing w:after="120"/>
      </w:pPr>
      <w:r>
        <w:rPr>
          <w:rFonts w:ascii="Arial" w:cs="Arial" w:eastAsia="Arial" w:hAnsi="Arial"/>
          <w:i/>
          <w:iCs/>
          <w:color w:val="888888"/>
          <w:sz w:val="20"/>
          <w:szCs w:val="20"/>
        </w:rPr>
        <w:t xml:space="preserve">[Remove the threat: malware removal, account credential resets, vulnerability patching, configuration hardening, policy updates. Verify eradication before proceeding to recovery.]</w:t>
      </w:r>
    </w:p>
    <w:p>
      <w:pPr>
        <w:pStyle w:val="Heading1"/>
        <w:spacing w:before="360" w:after="200"/>
      </w:pPr>
      <w:r>
        <w:rPr>
          <w:rFonts w:ascii="Arial" w:cs="Arial" w:eastAsia="Arial" w:hAnsi="Arial"/>
          <w:b/>
          <w:bCs/>
          <w:sz w:val="32"/>
          <w:szCs w:val="32"/>
        </w:rPr>
        <w:t xml:space="preserve">7. Recovery</w:t>
      </w:r>
    </w:p>
    <w:p>
      <w:pPr>
        <w:pStyle w:val="Heading2"/>
        <w:spacing w:before="280" w:after="160"/>
      </w:pPr>
      <w:r>
        <w:rPr>
          <w:rFonts w:ascii="Arial" w:cs="Arial" w:eastAsia="Arial" w:hAnsi="Arial"/>
          <w:b/>
          <w:bCs/>
          <w:sz w:val="26"/>
          <w:szCs w:val="26"/>
        </w:rPr>
        <w:t xml:space="preserve">7.1 System Restoration</w:t>
      </w:r>
    </w:p>
    <w:p>
      <w:pPr>
        <w:spacing w:after="120"/>
      </w:pPr>
      <w:r>
        <w:rPr>
          <w:rFonts w:ascii="Arial" w:cs="Arial" w:eastAsia="Arial" w:hAnsi="Arial"/>
          <w:i/>
          <w:iCs/>
          <w:color w:val="888888"/>
          <w:sz w:val="20"/>
          <w:szCs w:val="20"/>
        </w:rPr>
        <w:t xml:space="preserve">[Restore affected systems from clean backups or rebuild. Verify integrity before returning to production. Enhanced monitoring during recovery period.]</w:t>
      </w:r>
    </w:p>
    <w:p>
      <w:pPr>
        <w:pStyle w:val="Heading2"/>
        <w:spacing w:before="280" w:after="160"/>
      </w:pPr>
      <w:r>
        <w:rPr>
          <w:rFonts w:ascii="Arial" w:cs="Arial" w:eastAsia="Arial" w:hAnsi="Arial"/>
          <w:b/>
          <w:bCs/>
          <w:sz w:val="26"/>
          <w:szCs w:val="26"/>
        </w:rPr>
        <w:t xml:space="preserve">7.2 Validation</w:t>
      </w:r>
    </w:p>
    <w:p>
      <w:pPr>
        <w:spacing w:after="120"/>
      </w:pPr>
      <w:r>
        <w:rPr>
          <w:rFonts w:ascii="Arial" w:cs="Arial" w:eastAsia="Arial" w:hAnsi="Arial"/>
          <w:i/>
          <w:iCs/>
          <w:color w:val="888888"/>
          <w:sz w:val="20"/>
          <w:szCs w:val="20"/>
        </w:rPr>
        <w:t xml:space="preserve">[Confirm systems are operating normally, no indicators of compromise remain, and all security controls are re-enabled and functioning.]</w:t>
      </w:r>
    </w:p>
    <w:p>
      <w:pPr>
        <w:pStyle w:val="Heading1"/>
        <w:spacing w:before="360" w:after="200"/>
      </w:pPr>
      <w:r>
        <w:rPr>
          <w:rFonts w:ascii="Arial" w:cs="Arial" w:eastAsia="Arial" w:hAnsi="Arial"/>
          <w:b/>
          <w:bCs/>
          <w:sz w:val="32"/>
          <w:szCs w:val="32"/>
        </w:rPr>
        <w:t xml:space="preserve">8. Client Notification and Communication</w:t>
      </w:r>
    </w:p>
    <w:p>
      <w:pPr>
        <w:pStyle w:val="Heading2"/>
        <w:spacing w:before="280" w:after="160"/>
      </w:pPr>
      <w:r>
        <w:rPr>
          <w:rFonts w:ascii="Arial" w:cs="Arial" w:eastAsia="Arial" w:hAnsi="Arial"/>
          <w:b/>
          <w:bCs/>
          <w:sz w:val="26"/>
          <w:szCs w:val="26"/>
        </w:rPr>
        <w:t xml:space="preserve">8.1 Client Notification</w:t>
      </w:r>
    </w:p>
    <w:p>
      <w:pPr>
        <w:spacing w:after="120"/>
      </w:pPr>
      <w:r>
        <w:rPr>
          <w:rFonts w:ascii="Arial" w:cs="Arial" w:eastAsia="Arial" w:hAnsi="Arial"/>
          <w:i/>
          <w:iCs/>
          <w:color w:val="888888"/>
          <w:sz w:val="20"/>
          <w:szCs w:val="20"/>
        </w:rPr>
        <w:t xml:space="preserve">[Affected clients notified within 24 hours of confirmed incident. Initial notification includes: description of incident, known scope, containment actions taken, next steps. Subsequent updates at regular intervals until resolution. Pre-drafted notification templates included as Appendix A.]</w:t>
      </w:r>
    </w:p>
    <w:p>
      <w:pPr>
        <w:pStyle w:val="Heading2"/>
        <w:spacing w:before="280" w:after="160"/>
      </w:pPr>
      <w:r>
        <w:rPr>
          <w:rFonts w:ascii="Arial" w:cs="Arial" w:eastAsia="Arial" w:hAnsi="Arial"/>
          <w:b/>
          <w:bCs/>
          <w:sz w:val="26"/>
          <w:szCs w:val="26"/>
        </w:rPr>
        <w:t xml:space="preserve">8.2 Regulatory Notification</w:t>
      </w:r>
    </w:p>
    <w:p>
      <w:pPr>
        <w:spacing w:after="120"/>
      </w:pPr>
      <w:r>
        <w:rPr>
          <w:rFonts w:ascii="Arial" w:cs="Arial" w:eastAsia="Arial" w:hAnsi="Arial"/>
          <w:i/>
          <w:iCs/>
          <w:color w:val="888888"/>
          <w:sz w:val="20"/>
          <w:szCs w:val="20"/>
        </w:rPr>
        <w:t xml:space="preserve">[Determine regulatory notification obligations based on incident type and affected data: FINRA, SEC, HHS/OCR (HIPAA), state attorneys general (breach notification laws), FTC. Timelines and responsible parties for each.]</w:t>
      </w:r>
    </w:p>
    <w:p>
      <w:pPr>
        <w:pStyle w:val="Heading2"/>
        <w:spacing w:before="280" w:after="160"/>
      </w:pPr>
      <w:r>
        <w:rPr>
          <w:rFonts w:ascii="Arial" w:cs="Arial" w:eastAsia="Arial" w:hAnsi="Arial"/>
          <w:b/>
          <w:bCs/>
          <w:sz w:val="26"/>
          <w:szCs w:val="26"/>
        </w:rPr>
        <w:t xml:space="preserve">8.3 Internal Communication</w:t>
      </w:r>
    </w:p>
    <w:p>
      <w:pPr>
        <w:spacing w:after="120"/>
      </w:pPr>
      <w:r>
        <w:rPr>
          <w:rFonts w:ascii="Arial" w:cs="Arial" w:eastAsia="Arial" w:hAnsi="Arial"/>
          <w:i/>
          <w:iCs/>
          <w:color w:val="888888"/>
          <w:sz w:val="20"/>
          <w:szCs w:val="20"/>
        </w:rPr>
        <w:t xml:space="preserve">[Communication protocols during incident: who needs to know, secure communication channels (avoid compromised systems), status update cadence, management briefing schedule.]</w:t>
      </w:r>
    </w:p>
    <w:p>
      <w:pPr>
        <w:pStyle w:val="Heading2"/>
        <w:spacing w:before="280" w:after="160"/>
      </w:pPr>
      <w:r>
        <w:rPr>
          <w:rFonts w:ascii="Arial" w:cs="Arial" w:eastAsia="Arial" w:hAnsi="Arial"/>
          <w:b/>
          <w:bCs/>
          <w:sz w:val="26"/>
          <w:szCs w:val="26"/>
        </w:rPr>
        <w:t xml:space="preserve">8.4 Law Enforcement</w:t>
      </w:r>
    </w:p>
    <w:p>
      <w:pPr>
        <w:spacing w:after="120"/>
      </w:pPr>
      <w:r>
        <w:rPr>
          <w:rFonts w:ascii="Arial" w:cs="Arial" w:eastAsia="Arial" w:hAnsi="Arial"/>
          <w:i/>
          <w:iCs/>
          <w:color w:val="888888"/>
          <w:sz w:val="20"/>
          <w:szCs w:val="20"/>
        </w:rPr>
        <w:t xml:space="preserve">[Criteria for engaging law enforcement. Contact information for FBI IC3, local FBI field office. Coordination procedures.]</w:t>
      </w:r>
    </w:p>
    <w:p>
      <w:pPr>
        <w:pStyle w:val="Heading1"/>
        <w:spacing w:before="360" w:after="200"/>
      </w:pPr>
      <w:r>
        <w:rPr>
          <w:rFonts w:ascii="Arial" w:cs="Arial" w:eastAsia="Arial" w:hAnsi="Arial"/>
          <w:b/>
          <w:bCs/>
          <w:sz w:val="32"/>
          <w:szCs w:val="32"/>
        </w:rPr>
        <w:t xml:space="preserve">9. Post-Incident Review</w:t>
      </w:r>
    </w:p>
    <w:p>
      <w:pPr>
        <w:pStyle w:val="Heading2"/>
        <w:spacing w:before="280" w:after="160"/>
      </w:pPr>
      <w:r>
        <w:rPr>
          <w:rFonts w:ascii="Arial" w:cs="Arial" w:eastAsia="Arial" w:hAnsi="Arial"/>
          <w:b/>
          <w:bCs/>
          <w:sz w:val="26"/>
          <w:szCs w:val="26"/>
        </w:rPr>
        <w:t xml:space="preserve">9.1 Lessons Learned</w:t>
      </w:r>
    </w:p>
    <w:p>
      <w:pPr>
        <w:spacing w:after="120"/>
      </w:pPr>
      <w:r>
        <w:rPr>
          <w:rFonts w:ascii="Arial" w:cs="Arial" w:eastAsia="Arial" w:hAnsi="Arial"/>
          <w:i/>
          <w:iCs/>
          <w:color w:val="888888"/>
          <w:sz w:val="20"/>
          <w:szCs w:val="20"/>
        </w:rPr>
        <w:t xml:space="preserve">[Post-incident review meeting within 5 business days of resolution. Attendees: full IRT plus relevant stakeholders. Document: timeline, what worked, what didn’t, gaps identified, improvement actions.]</w:t>
      </w:r>
    </w:p>
    <w:p>
      <w:pPr>
        <w:pStyle w:val="Heading2"/>
        <w:spacing w:before="280" w:after="160"/>
      </w:pPr>
      <w:r>
        <w:rPr>
          <w:rFonts w:ascii="Arial" w:cs="Arial" w:eastAsia="Arial" w:hAnsi="Arial"/>
          <w:b/>
          <w:bCs/>
          <w:sz w:val="26"/>
          <w:szCs w:val="26"/>
        </w:rPr>
        <w:t xml:space="preserve">9.2 Plan Updates</w:t>
      </w:r>
    </w:p>
    <w:p>
      <w:pPr>
        <w:spacing w:after="120"/>
      </w:pPr>
      <w:r>
        <w:rPr>
          <w:rFonts w:ascii="Arial" w:cs="Arial" w:eastAsia="Arial" w:hAnsi="Arial"/>
          <w:i/>
          <w:iCs/>
          <w:color w:val="888888"/>
          <w:sz w:val="20"/>
          <w:szCs w:val="20"/>
        </w:rPr>
        <w:t xml:space="preserve">[Update this IRP based on lessons learned. Update related policies, procedures, and technical controls. Track remediation items to completion.]</w:t>
      </w:r>
    </w:p>
    <w:p>
      <w:pPr>
        <w:pStyle w:val="Heading2"/>
        <w:spacing w:before="280" w:after="160"/>
      </w:pPr>
      <w:r>
        <w:rPr>
          <w:rFonts w:ascii="Arial" w:cs="Arial" w:eastAsia="Arial" w:hAnsi="Arial"/>
          <w:b/>
          <w:bCs/>
          <w:sz w:val="26"/>
          <w:szCs w:val="26"/>
        </w:rPr>
        <w:t xml:space="preserve">9.3 Incident Report</w:t>
      </w:r>
    </w:p>
    <w:p>
      <w:pPr>
        <w:spacing w:after="120"/>
      </w:pPr>
      <w:r>
        <w:rPr>
          <w:rFonts w:ascii="Arial" w:cs="Arial" w:eastAsia="Arial" w:hAnsi="Arial"/>
          <w:i/>
          <w:iCs/>
          <w:color w:val="888888"/>
          <w:sz w:val="20"/>
          <w:szCs w:val="20"/>
        </w:rPr>
        <w:t xml:space="preserve">[Formal incident report for each significant incident. Contents: executive summary, timeline, impact assessment, root cause, actions taken, client communications, regulatory filings, recommendations. Retain per data retention policy.]</w:t>
      </w:r>
    </w:p>
    <w:p>
      <w:pPr>
        <w:pStyle w:val="Heading1"/>
        <w:spacing w:before="360" w:after="200"/>
      </w:pPr>
      <w:r>
        <w:rPr>
          <w:rFonts w:ascii="Arial" w:cs="Arial" w:eastAsia="Arial" w:hAnsi="Arial"/>
          <w:b/>
          <w:bCs/>
          <w:sz w:val="32"/>
          <w:szCs w:val="32"/>
        </w:rPr>
        <w:t xml:space="preserve">10. Testing and Maintenance</w:t>
      </w:r>
    </w:p>
    <w:p>
      <w:pPr>
        <w:pStyle w:val="Heading2"/>
        <w:spacing w:before="280" w:after="160"/>
      </w:pPr>
      <w:r>
        <w:rPr>
          <w:rFonts w:ascii="Arial" w:cs="Arial" w:eastAsia="Arial" w:hAnsi="Arial"/>
          <w:b/>
          <w:bCs/>
          <w:sz w:val="26"/>
          <w:szCs w:val="26"/>
        </w:rPr>
        <w:t xml:space="preserve">10.1 Tabletop Exercises</w:t>
      </w:r>
    </w:p>
    <w:p>
      <w:pPr>
        <w:spacing w:after="120"/>
      </w:pPr>
      <w:r>
        <w:rPr>
          <w:rFonts w:ascii="Arial" w:cs="Arial" w:eastAsia="Arial" w:hAnsi="Arial"/>
          <w:i/>
          <w:iCs/>
          <w:color w:val="888888"/>
          <w:sz w:val="20"/>
          <w:szCs w:val="20"/>
        </w:rPr>
        <w:t xml:space="preserve">[Conduct tabletop exercises at least annually. Scenarios should include: ransomware attack, client data breach, insider threat, third-party compromise. Document results and improvement actions.]</w:t>
      </w:r>
    </w:p>
    <w:p>
      <w:pPr>
        <w:pStyle w:val="Heading2"/>
        <w:spacing w:before="280" w:after="160"/>
      </w:pPr>
      <w:r>
        <w:rPr>
          <w:rFonts w:ascii="Arial" w:cs="Arial" w:eastAsia="Arial" w:hAnsi="Arial"/>
          <w:b/>
          <w:bCs/>
          <w:sz w:val="26"/>
          <w:szCs w:val="26"/>
        </w:rPr>
        <w:t xml:space="preserve">10.2 Plan Review</w:t>
      </w:r>
    </w:p>
    <w:p>
      <w:pPr>
        <w:spacing w:after="120"/>
      </w:pPr>
      <w:r>
        <w:rPr>
          <w:rFonts w:ascii="Arial" w:cs="Arial" w:eastAsia="Arial" w:hAnsi="Arial"/>
          <w:i/>
          <w:iCs/>
          <w:color w:val="888888"/>
          <w:sz w:val="20"/>
          <w:szCs w:val="20"/>
        </w:rPr>
        <w:t xml:space="preserve">[This plan is reviewed and approved annually. Contact information verified quarterly. Out-of-cycle updates triggered by significant incidents, organizational changes, or regulatory updates.]</w:t>
      </w:r>
    </w:p>
    <w:p>
      <w:pPr>
        <w:pStyle w:val="Heading2"/>
        <w:spacing w:before="280" w:after="160"/>
      </w:pPr>
      <w:r>
        <w:rPr>
          <w:rFonts w:ascii="Arial" w:cs="Arial" w:eastAsia="Arial" w:hAnsi="Arial"/>
          <w:b/>
          <w:bCs/>
          <w:sz w:val="26"/>
          <w:szCs w:val="26"/>
        </w:rPr>
        <w:t xml:space="preserve">10.3 Version History</w:t>
      </w:r>
    </w:p>
    <w:p>
      <w:pPr>
        <w:spacing w:after="120"/>
      </w:pPr>
      <w:r>
        <w:rPr>
          <w:rFonts w:ascii="Arial" w:cs="Arial" w:eastAsia="Arial" w:hAnsi="Arial"/>
          <w:i/>
          <w:iCs/>
          <w:color w:val="888888"/>
          <w:sz w:val="20"/>
          <w:szCs w:val="20"/>
        </w:rPr>
        <w:t xml:space="preserve">[Version history table: version number, date, author, description of changes.]</w:t>
      </w:r>
    </w:p>
    <w:p>
      <w:pPr>
        <w:pStyle w:val="Heading1"/>
        <w:spacing w:before="360" w:after="200"/>
      </w:pPr>
      <w:r>
        <w:rPr>
          <w:rFonts w:ascii="Arial" w:cs="Arial" w:eastAsia="Arial" w:hAnsi="Arial"/>
          <w:b/>
          <w:bCs/>
          <w:sz w:val="32"/>
          <w:szCs w:val="32"/>
        </w:rPr>
        <w:t xml:space="preserve">Appendices</w:t>
      </w:r>
    </w:p>
    <w:p>
      <w:pPr>
        <w:pStyle w:val="Heading2"/>
        <w:spacing w:before="280" w:after="160"/>
      </w:pPr>
      <w:r>
        <w:rPr>
          <w:rFonts w:ascii="Arial" w:cs="Arial" w:eastAsia="Arial" w:hAnsi="Arial"/>
          <w:b/>
          <w:bCs/>
          <w:sz w:val="26"/>
          <w:szCs w:val="26"/>
        </w:rPr>
        <w:t xml:space="preserve">Appendix A: Notification Templates</w:t>
      </w:r>
    </w:p>
    <w:p>
      <w:pPr>
        <w:spacing w:after="120"/>
      </w:pPr>
      <w:r>
        <w:rPr>
          <w:rFonts w:ascii="Arial" w:cs="Arial" w:eastAsia="Arial" w:hAnsi="Arial"/>
          <w:i/>
          <w:iCs/>
          <w:color w:val="888888"/>
          <w:sz w:val="20"/>
          <w:szCs w:val="20"/>
        </w:rPr>
        <w:t xml:space="preserve">[Pre-drafted client notification templates for various incident types.]</w:t>
      </w:r>
    </w:p>
    <w:p>
      <w:pPr>
        <w:pStyle w:val="Heading2"/>
        <w:spacing w:before="280" w:after="160"/>
      </w:pPr>
      <w:r>
        <w:rPr>
          <w:rFonts w:ascii="Arial" w:cs="Arial" w:eastAsia="Arial" w:hAnsi="Arial"/>
          <w:b/>
          <w:bCs/>
          <w:sz w:val="26"/>
          <w:szCs w:val="26"/>
        </w:rPr>
        <w:t xml:space="preserve">Appendix B: Contact List</w:t>
      </w:r>
    </w:p>
    <w:p>
      <w:pPr>
        <w:spacing w:after="120"/>
      </w:pPr>
      <w:r>
        <w:rPr>
          <w:rFonts w:ascii="Arial" w:cs="Arial" w:eastAsia="Arial" w:hAnsi="Arial"/>
          <w:i/>
          <w:iCs/>
          <w:color w:val="888888"/>
          <w:sz w:val="20"/>
          <w:szCs w:val="20"/>
        </w:rPr>
        <w:t xml:space="preserve">[IRT contact list with primary and backup contacts, after-hours numbers. External contacts: forensics firm, legal counsel, insurance carrier, law enforcement.]</w:t>
      </w:r>
    </w:p>
    <w:p>
      <w:pPr>
        <w:pStyle w:val="Heading2"/>
        <w:spacing w:before="280" w:after="160"/>
      </w:pPr>
      <w:r>
        <w:rPr>
          <w:rFonts w:ascii="Arial" w:cs="Arial" w:eastAsia="Arial" w:hAnsi="Arial"/>
          <w:b/>
          <w:bCs/>
          <w:sz w:val="26"/>
          <w:szCs w:val="26"/>
        </w:rPr>
        <w:t xml:space="preserve">Appendix C: Severity/Escalation Matrix</w:t>
      </w:r>
    </w:p>
    <w:p>
      <w:pPr>
        <w:spacing w:after="120"/>
      </w:pPr>
      <w:r>
        <w:rPr>
          <w:rFonts w:ascii="Arial" w:cs="Arial" w:eastAsia="Arial" w:hAnsi="Arial"/>
          <w:i/>
          <w:iCs/>
          <w:color w:val="888888"/>
          <w:sz w:val="20"/>
          <w:szCs w:val="20"/>
        </w:rPr>
        <w:t xml:space="preserve">[Visual matrix mapping severity levels to response timeframes, escalation paths, and notification requirements.]</w:t>
      </w:r>
    </w:p>
    <w:p>
      <w:r>
        <w:br w:type="page"/>
      </w:r>
    </w:p>
    <w:p>
      <w:pPr>
        <w:pStyle w:val="Heading1"/>
        <w:spacing w:before="360" w:after="200"/>
      </w:pPr>
      <w:r>
        <w:rPr>
          <w:rFonts w:ascii="Arial" w:cs="Arial" w:eastAsia="Arial" w:hAnsi="Arial"/>
          <w:b/>
          <w:bCs/>
          <w:sz w:val="32"/>
          <w:szCs w:val="32"/>
        </w:rPr>
        <w:t xml:space="preserve">Technijian Corporation</w:t>
      </w:r>
    </w:p>
    <w:p>
      <w:pPr>
        <w:spacing w:after="80"/>
        <w:jc w:val="center"/>
      </w:pPr>
      <w:r>
        <w:rPr>
          <w:rFonts w:ascii="Arial" w:cs="Arial" w:eastAsia="Arial" w:hAnsi="Arial"/>
          <w:b/>
          <w:bCs/>
          <w:sz w:val="36"/>
          <w:szCs w:val="36"/>
        </w:rPr>
        <w:t xml:space="preserve">Business Continuity &amp; Disaster Recovery Plan (BCP/DR)</w:t>
      </w:r>
    </w:p>
    <w:p>
      <w:pPr>
        <w:spacing w:after="80"/>
        <w:jc w:val="center"/>
      </w:pPr>
      <w:r>
        <w:rPr>
          <w:rFonts w:ascii="Arial" w:cs="Arial" w:eastAsia="Arial" w:hAnsi="Arial"/>
          <w:color w:val="666666"/>
          <w:sz w:val="20"/>
          <w:szCs w:val="20"/>
        </w:rPr>
        <w:t xml:space="preserve">Version 1.0 | March 6, 2026</w:t>
      </w:r>
    </w:p>
    <w:p>
      <w:pPr>
        <w:spacing w:after="80"/>
        <w:jc w:val="center"/>
      </w:pPr>
      <w:r>
        <w:rPr>
          <w:rFonts w:ascii="Arial" w:cs="Arial" w:eastAsia="Arial" w:hAnsi="Arial"/>
          <w:b/>
          <w:bCs/>
          <w:color w:val="CC0000"/>
          <w:sz w:val="20"/>
          <w:szCs w:val="20"/>
        </w:rPr>
        <w:t xml:space="preserve">Classification: Confidential</w:t>
      </w:r>
    </w:p>
    <w:p>
      <w:pPr>
        <w:spacing w:after="80"/>
      </w:pPr>
    </w:p>
    <w:p>
      <w:pPr>
        <w:spacing w:after="120"/>
      </w:pPr>
      <w:r>
        <w:rPr>
          <w:rFonts w:ascii="Arial" w:cs="Arial" w:eastAsia="Arial" w:hAnsi="Arial"/>
          <w:sz w:val="20"/>
          <w:szCs w:val="20"/>
        </w:rPr>
        <w:t xml:space="preserve">Document Owner: _________________</w:t>
      </w:r>
    </w:p>
    <w:p>
      <w:pPr>
        <w:spacing w:after="120"/>
      </w:pPr>
      <w:r>
        <w:rPr>
          <w:rFonts w:ascii="Arial" w:cs="Arial" w:eastAsia="Arial" w:hAnsi="Arial"/>
          <w:sz w:val="20"/>
          <w:szCs w:val="20"/>
        </w:rPr>
        <w:t xml:space="preserve">Approved By: _________________</w:t>
      </w:r>
    </w:p>
    <w:p>
      <w:pPr>
        <w:spacing w:after="120"/>
      </w:pPr>
      <w:r>
        <w:rPr>
          <w:rFonts w:ascii="Arial" w:cs="Arial" w:eastAsia="Arial" w:hAnsi="Arial"/>
          <w:sz w:val="20"/>
          <w:szCs w:val="20"/>
        </w:rPr>
        <w:t xml:space="preserve">Next Review Date: _________________</w:t>
      </w:r>
    </w:p>
    <w:p>
      <w:r>
        <w:br w:type="page"/>
      </w:r>
    </w:p>
    <w:p>
      <w:pPr>
        <w:pStyle w:val="Heading1"/>
        <w:spacing w:before="360" w:after="200"/>
      </w:pPr>
      <w:r>
        <w:rPr>
          <w:rFonts w:ascii="Arial" w:cs="Arial" w:eastAsia="Arial" w:hAnsi="Arial"/>
          <w:b/>
          <w:bCs/>
          <w:sz w:val="32"/>
          <w:szCs w:val="32"/>
        </w:rPr>
        <w:t xml:space="preserve">1. Purpose and Scope</w:t>
      </w:r>
    </w:p>
    <w:p>
      <w:pPr>
        <w:spacing w:after="120"/>
      </w:pPr>
      <w:r>
        <w:rPr>
          <w:rFonts w:ascii="Arial" w:cs="Arial" w:eastAsia="Arial" w:hAnsi="Arial"/>
          <w:i/>
          <w:iCs/>
          <w:color w:val="888888"/>
          <w:sz w:val="20"/>
          <w:szCs w:val="20"/>
        </w:rPr>
        <w:t xml:space="preserve">[Define the purpose: ensure Technijian can continue delivering managed IT services to clients during and after disruptive events, and recover critical systems within defined RTO/RPO targets.]</w:t>
      </w:r>
    </w:p>
    <w:p>
      <w:pPr>
        <w:pStyle w:val="Heading2"/>
        <w:spacing w:before="280" w:after="160"/>
      </w:pPr>
      <w:r>
        <w:rPr>
          <w:rFonts w:ascii="Arial" w:cs="Arial" w:eastAsia="Arial" w:hAnsi="Arial"/>
          <w:b/>
          <w:bCs/>
          <w:sz w:val="26"/>
          <w:szCs w:val="26"/>
        </w:rPr>
        <w:t xml:space="preserve">1.1 Scope</w:t>
      </w:r>
    </w:p>
    <w:p>
      <w:pPr>
        <w:spacing w:after="120"/>
      </w:pPr>
      <w:r>
        <w:rPr>
          <w:rFonts w:ascii="Arial" w:cs="Arial" w:eastAsia="Arial" w:hAnsi="Arial"/>
          <w:i/>
          <w:iCs/>
          <w:color w:val="888888"/>
          <w:sz w:val="20"/>
          <w:szCs w:val="20"/>
        </w:rPr>
        <w:t xml:space="preserve">[Covers Technijian’s internal operations, client service delivery, infrastructure at TPX data center, cloud services, communications, and personnel. Addresses: natural disasters, cyberattacks, equipment failure, provider outages, pandemic, facility loss.]</w:t>
      </w:r>
    </w:p>
    <w:p>
      <w:pPr>
        <w:pStyle w:val="Heading2"/>
        <w:spacing w:before="280" w:after="160"/>
      </w:pPr>
      <w:r>
        <w:rPr>
          <w:rFonts w:ascii="Arial" w:cs="Arial" w:eastAsia="Arial" w:hAnsi="Arial"/>
          <w:b/>
          <w:bCs/>
          <w:sz w:val="26"/>
          <w:szCs w:val="26"/>
        </w:rPr>
        <w:t xml:space="preserve">1.2 Relationship to Other Plans</w:t>
      </w:r>
    </w:p>
    <w:p>
      <w:pPr>
        <w:spacing w:after="120"/>
      </w:pPr>
      <w:r>
        <w:rPr>
          <w:rFonts w:ascii="Arial" w:cs="Arial" w:eastAsia="Arial" w:hAnsi="Arial"/>
          <w:i/>
          <w:iCs/>
          <w:color w:val="888888"/>
          <w:sz w:val="20"/>
          <w:szCs w:val="20"/>
        </w:rPr>
        <w:t xml:space="preserve">[Cross-reference: Incident Response Plan (for security events that trigger DR), Information Security Program (for controls that prevent disruptions), client-specific DR plans managed separately.]</w:t>
      </w:r>
    </w:p>
    <w:p>
      <w:pPr>
        <w:pStyle w:val="Heading1"/>
        <w:spacing w:before="360" w:after="200"/>
      </w:pPr>
      <w:r>
        <w:rPr>
          <w:rFonts w:ascii="Arial" w:cs="Arial" w:eastAsia="Arial" w:hAnsi="Arial"/>
          <w:b/>
          <w:bCs/>
          <w:sz w:val="32"/>
          <w:szCs w:val="32"/>
        </w:rPr>
        <w:t xml:space="preserve">2. Business Impact Analysis</w:t>
      </w:r>
    </w:p>
    <w:p>
      <w:pPr>
        <w:pStyle w:val="Heading2"/>
        <w:spacing w:before="280" w:after="160"/>
      </w:pPr>
      <w:r>
        <w:rPr>
          <w:rFonts w:ascii="Arial" w:cs="Arial" w:eastAsia="Arial" w:hAnsi="Arial"/>
          <w:b/>
          <w:bCs/>
          <w:sz w:val="26"/>
          <w:szCs w:val="26"/>
        </w:rPr>
        <w:t xml:space="preserve">2.1 Critical Business Functions</w:t>
      </w:r>
    </w:p>
    <w:p>
      <w:pPr>
        <w:spacing w:after="120"/>
      </w:pPr>
      <w:r>
        <w:rPr>
          <w:rFonts w:ascii="Arial" w:cs="Arial" w:eastAsia="Arial" w:hAnsi="Arial"/>
          <w:i/>
          <w:iCs/>
          <w:color w:val="888888"/>
          <w:sz w:val="20"/>
          <w:szCs w:val="20"/>
        </w:rPr>
        <w:t xml:space="preserve">[Identify and rank Technijian’s critical functions: client monitoring and alerting (RMM), helpdesk/ticket response, client infrastructure management, security operations (SOC/SIEM), email and communications, billing and PSA, internal file storage and documentation.]</w:t>
      </w:r>
    </w:p>
    <w:p>
      <w:pPr>
        <w:pStyle w:val="Heading2"/>
        <w:spacing w:before="280" w:after="160"/>
      </w:pPr>
      <w:r>
        <w:rPr>
          <w:rFonts w:ascii="Arial" w:cs="Arial" w:eastAsia="Arial" w:hAnsi="Arial"/>
          <w:b/>
          <w:bCs/>
          <w:sz w:val="26"/>
          <w:szCs w:val="26"/>
        </w:rPr>
        <w:t xml:space="preserve">2.2 RTO and RPO Targets</w:t>
      </w:r>
    </w:p>
    <w:p>
      <w:pPr>
        <w:spacing w:after="120"/>
      </w:pPr>
      <w:r>
        <w:rPr>
          <w:rFonts w:ascii="Arial" w:cs="Arial" w:eastAsia="Arial" w:hAnsi="Arial"/>
          <w:i/>
          <w:iCs/>
          <w:color w:val="888888"/>
          <w:sz w:val="20"/>
          <w:szCs w:val="20"/>
        </w:rPr>
        <w:t xml:space="preserve">[Define targets per system tier. Tier 1 (client production systems): RTO 4 hours, RPO 1 hour. Tier 2 (Technijian operational systems – RMM, PSA, SIEM): RTO 4 hours, RPO 4 hours. Tier 3 (non-critical – internal file shares, marketing): RTO 24 hours, RPO 24 hours. Note: client-specific RTO/RPO may differ per SLA.]</w:t>
      </w:r>
    </w:p>
    <w:p>
      <w:pPr>
        <w:pStyle w:val="Heading2"/>
        <w:spacing w:before="280" w:after="160"/>
      </w:pPr>
      <w:r>
        <w:rPr>
          <w:rFonts w:ascii="Arial" w:cs="Arial" w:eastAsia="Arial" w:hAnsi="Arial"/>
          <w:b/>
          <w:bCs/>
          <w:sz w:val="26"/>
          <w:szCs w:val="26"/>
        </w:rPr>
        <w:t xml:space="preserve">2.3 Dependencies</w:t>
      </w:r>
    </w:p>
    <w:p>
      <w:pPr>
        <w:spacing w:after="120"/>
      </w:pPr>
      <w:r>
        <w:rPr>
          <w:rFonts w:ascii="Arial" w:cs="Arial" w:eastAsia="Arial" w:hAnsi="Arial"/>
          <w:i/>
          <w:iCs/>
          <w:color w:val="888888"/>
          <w:sz w:val="20"/>
          <w:szCs w:val="20"/>
        </w:rPr>
        <w:t xml:space="preserve">[Map critical dependencies: TPX data center (hosting), ISP/network providers, Microsoft 365 (email/collaboration), RMM platform vendor, CrowdStrike (EDR), SIEM platform, cloud providers (Azure/AWS), phone system/VoIP.]</w:t>
      </w:r>
    </w:p>
    <w:p>
      <w:pPr>
        <w:pStyle w:val="Heading1"/>
        <w:spacing w:before="360" w:after="200"/>
      </w:pPr>
      <w:r>
        <w:rPr>
          <w:rFonts w:ascii="Arial" w:cs="Arial" w:eastAsia="Arial" w:hAnsi="Arial"/>
          <w:b/>
          <w:bCs/>
          <w:sz w:val="32"/>
          <w:szCs w:val="32"/>
        </w:rPr>
        <w:t xml:space="preserve">3. Recovery Strategies</w:t>
      </w:r>
    </w:p>
    <w:p>
      <w:pPr>
        <w:pStyle w:val="Heading2"/>
        <w:spacing w:before="280" w:after="160"/>
      </w:pPr>
      <w:r>
        <w:rPr>
          <w:rFonts w:ascii="Arial" w:cs="Arial" w:eastAsia="Arial" w:hAnsi="Arial"/>
          <w:b/>
          <w:bCs/>
          <w:sz w:val="26"/>
          <w:szCs w:val="26"/>
        </w:rPr>
        <w:t xml:space="preserve">3.1 Data Center (TPX) Disruption</w:t>
      </w:r>
    </w:p>
    <w:p>
      <w:pPr>
        <w:spacing w:after="120"/>
      </w:pPr>
      <w:r>
        <w:rPr>
          <w:rFonts w:ascii="Arial" w:cs="Arial" w:eastAsia="Arial" w:hAnsi="Arial"/>
          <w:i/>
          <w:iCs/>
          <w:color w:val="888888"/>
          <w:sz w:val="20"/>
          <w:szCs w:val="20"/>
        </w:rPr>
        <w:t xml:space="preserve">[Scenario: TPX facility unavailable. Strategy: failover to secondary site or cloud DR environment. Define failover procedures, data replication architecture, and expected recovery timelines. Reference TPX’s own DR capabilities from their SOC 2 report.]</w:t>
      </w:r>
    </w:p>
    <w:p>
      <w:pPr>
        <w:pStyle w:val="Heading2"/>
        <w:spacing w:before="280" w:after="160"/>
      </w:pPr>
      <w:r>
        <w:rPr>
          <w:rFonts w:ascii="Arial" w:cs="Arial" w:eastAsia="Arial" w:hAnsi="Arial"/>
          <w:b/>
          <w:bCs/>
          <w:sz w:val="26"/>
          <w:szCs w:val="26"/>
        </w:rPr>
        <w:t xml:space="preserve">3.2 Technijian Office / Facility Loss</w:t>
      </w:r>
    </w:p>
    <w:p>
      <w:pPr>
        <w:spacing w:after="120"/>
      </w:pPr>
      <w:r>
        <w:rPr>
          <w:rFonts w:ascii="Arial" w:cs="Arial" w:eastAsia="Arial" w:hAnsi="Arial"/>
          <w:i/>
          <w:iCs/>
          <w:color w:val="888888"/>
          <w:sz w:val="20"/>
          <w:szCs w:val="20"/>
        </w:rPr>
        <w:t xml:space="preserve">[Scenario: HQ at 18 Technology Dr inaccessible. Strategy: Technijian operates as a remote-first support model – all engineers can work remotely via VPN. Define alternate work locations, equipment access, and communication procedures.]</w:t>
      </w:r>
    </w:p>
    <w:p>
      <w:pPr>
        <w:pStyle w:val="Heading2"/>
        <w:spacing w:before="280" w:after="160"/>
      </w:pPr>
      <w:r>
        <w:rPr>
          <w:rFonts w:ascii="Arial" w:cs="Arial" w:eastAsia="Arial" w:hAnsi="Arial"/>
          <w:b/>
          <w:bCs/>
          <w:sz w:val="26"/>
          <w:szCs w:val="26"/>
        </w:rPr>
        <w:t xml:space="preserve">3.3 Cyberattack / Ransomware</w:t>
      </w:r>
    </w:p>
    <w:p>
      <w:pPr>
        <w:spacing w:after="120"/>
      </w:pPr>
      <w:r>
        <w:rPr>
          <w:rFonts w:ascii="Arial" w:cs="Arial" w:eastAsia="Arial" w:hAnsi="Arial"/>
          <w:i/>
          <w:iCs/>
          <w:color w:val="888888"/>
          <w:sz w:val="20"/>
          <w:szCs w:val="20"/>
        </w:rPr>
        <w:t xml:space="preserve">[Scenario: Technijian’s own systems compromised. Strategy: activate Incident Response Plan, isolate affected systems, restore from clean backups, communicate with clients via alternate channels. Cross-reference IRP.]</w:t>
      </w:r>
    </w:p>
    <w:p>
      <w:pPr>
        <w:pStyle w:val="Heading2"/>
        <w:spacing w:before="280" w:after="160"/>
      </w:pPr>
      <w:r>
        <w:rPr>
          <w:rFonts w:ascii="Arial" w:cs="Arial" w:eastAsia="Arial" w:hAnsi="Arial"/>
          <w:b/>
          <w:bCs/>
          <w:sz w:val="26"/>
          <w:szCs w:val="26"/>
        </w:rPr>
        <w:t xml:space="preserve">3.4 Key Personnel Loss</w:t>
      </w:r>
    </w:p>
    <w:p>
      <w:pPr>
        <w:spacing w:after="120"/>
      </w:pPr>
      <w:r>
        <w:rPr>
          <w:rFonts w:ascii="Arial" w:cs="Arial" w:eastAsia="Arial" w:hAnsi="Arial"/>
          <w:i/>
          <w:iCs/>
          <w:color w:val="888888"/>
          <w:sz w:val="20"/>
          <w:szCs w:val="20"/>
        </w:rPr>
        <w:t xml:space="preserve">[Scenario: critical staff unavailable. Strategy: cross-training documentation, backup personnel assignments for each critical role, vendor escalation contacts. Define minimum staffing requirements for continued operations.]</w:t>
      </w:r>
    </w:p>
    <w:p>
      <w:pPr>
        <w:pStyle w:val="Heading2"/>
        <w:spacing w:before="280" w:after="160"/>
      </w:pPr>
      <w:r>
        <w:rPr>
          <w:rFonts w:ascii="Arial" w:cs="Arial" w:eastAsia="Arial" w:hAnsi="Arial"/>
          <w:b/>
          <w:bCs/>
          <w:sz w:val="26"/>
          <w:szCs w:val="26"/>
        </w:rPr>
        <w:t xml:space="preserve">3.5 Vendor/Provider Outage</w:t>
      </w:r>
    </w:p>
    <w:p>
      <w:pPr>
        <w:spacing w:after="120"/>
      </w:pPr>
      <w:r>
        <w:rPr>
          <w:rFonts w:ascii="Arial" w:cs="Arial" w:eastAsia="Arial" w:hAnsi="Arial"/>
          <w:i/>
          <w:iCs/>
          <w:color w:val="888888"/>
          <w:sz w:val="20"/>
          <w:szCs w:val="20"/>
        </w:rPr>
        <w:t xml:space="preserve">[Scenario: critical vendor (RMM, SIEM, M365, ISP) experiences extended outage. Strategy per vendor: alternate tools, manual monitoring procedures, communication workarounds. Define acceptable outage durations before activating alternates.]</w:t>
      </w:r>
    </w:p>
    <w:p>
      <w:pPr>
        <w:pStyle w:val="Heading1"/>
        <w:spacing w:before="360" w:after="200"/>
      </w:pPr>
      <w:r>
        <w:rPr>
          <w:rFonts w:ascii="Arial" w:cs="Arial" w:eastAsia="Arial" w:hAnsi="Arial"/>
          <w:b/>
          <w:bCs/>
          <w:sz w:val="32"/>
          <w:szCs w:val="32"/>
        </w:rPr>
        <w:t xml:space="preserve">4. Backup Architecture</w:t>
      </w:r>
    </w:p>
    <w:p>
      <w:pPr>
        <w:pStyle w:val="Heading2"/>
        <w:spacing w:before="280" w:after="160"/>
      </w:pPr>
      <w:r>
        <w:rPr>
          <w:rFonts w:ascii="Arial" w:cs="Arial" w:eastAsia="Arial" w:hAnsi="Arial"/>
          <w:b/>
          <w:bCs/>
          <w:sz w:val="26"/>
          <w:szCs w:val="26"/>
        </w:rPr>
        <w:t xml:space="preserve">4.1 Backup Strategy</w:t>
      </w:r>
    </w:p>
    <w:p>
      <w:pPr>
        <w:spacing w:after="120"/>
      </w:pPr>
      <w:r>
        <w:rPr>
          <w:rFonts w:ascii="Arial" w:cs="Arial" w:eastAsia="Arial" w:hAnsi="Arial"/>
          <w:i/>
          <w:iCs/>
          <w:color w:val="888888"/>
          <w:sz w:val="20"/>
          <w:szCs w:val="20"/>
        </w:rPr>
        <w:t xml:space="preserve">[Describe backup approach for Technijian’s own systems and client environments: backup frequency (continuous/hourly/daily by tier), backup types (full, incremental, differential), backup destinations (on-site, off-site, cloud), encryption (AES-256), geographic separation.]</w:t>
      </w:r>
    </w:p>
    <w:p>
      <w:pPr>
        <w:pStyle w:val="Heading2"/>
        <w:spacing w:before="280" w:after="160"/>
      </w:pPr>
      <w:r>
        <w:rPr>
          <w:rFonts w:ascii="Arial" w:cs="Arial" w:eastAsia="Arial" w:hAnsi="Arial"/>
          <w:b/>
          <w:bCs/>
          <w:sz w:val="26"/>
          <w:szCs w:val="26"/>
        </w:rPr>
        <w:t xml:space="preserve">4.2 Backup Monitoring</w:t>
      </w:r>
    </w:p>
    <w:p>
      <w:pPr>
        <w:spacing w:after="120"/>
      </w:pPr>
      <w:r>
        <w:rPr>
          <w:rFonts w:ascii="Arial" w:cs="Arial" w:eastAsia="Arial" w:hAnsi="Arial"/>
          <w:i/>
          <w:iCs/>
          <w:color w:val="888888"/>
          <w:sz w:val="20"/>
          <w:szCs w:val="20"/>
        </w:rPr>
        <w:t xml:space="preserve">[24/7 automated monitoring of all backup jobs. Alerting on failure, incomplete jobs, or missed schedules. Checksum validation for integrity verification.]</w:t>
      </w:r>
    </w:p>
    <w:p>
      <w:pPr>
        <w:pStyle w:val="Heading2"/>
        <w:spacing w:before="280" w:after="160"/>
      </w:pPr>
      <w:r>
        <w:rPr>
          <w:rFonts w:ascii="Arial" w:cs="Arial" w:eastAsia="Arial" w:hAnsi="Arial"/>
          <w:b/>
          <w:bCs/>
          <w:sz w:val="26"/>
          <w:szCs w:val="26"/>
        </w:rPr>
        <w:t xml:space="preserve">4.3 Restoration Testing</w:t>
      </w:r>
    </w:p>
    <w:p>
      <w:pPr>
        <w:spacing w:after="120"/>
      </w:pPr>
      <w:r>
        <w:rPr>
          <w:rFonts w:ascii="Arial" w:cs="Arial" w:eastAsia="Arial" w:hAnsi="Arial"/>
          <w:i/>
          <w:iCs/>
          <w:color w:val="888888"/>
          <w:sz w:val="20"/>
          <w:szCs w:val="20"/>
        </w:rPr>
        <w:t xml:space="preserve">[Quarterly restoration tests for Tier 1 systems. Semi-annual bare-metal recovery tests. Results documented and retained for audit. Test scope includes verifying data integrity, application functionality, and recovery time against RTO targets.]</w:t>
      </w:r>
    </w:p>
    <w:p>
      <w:pPr>
        <w:pStyle w:val="Heading1"/>
        <w:spacing w:before="360" w:after="200"/>
      </w:pPr>
      <w:r>
        <w:rPr>
          <w:rFonts w:ascii="Arial" w:cs="Arial" w:eastAsia="Arial" w:hAnsi="Arial"/>
          <w:b/>
          <w:bCs/>
          <w:sz w:val="32"/>
          <w:szCs w:val="32"/>
        </w:rPr>
        <w:t xml:space="preserve">5. Communication Plan</w:t>
      </w:r>
    </w:p>
    <w:p>
      <w:pPr>
        <w:pStyle w:val="Heading2"/>
        <w:spacing w:before="280" w:after="160"/>
      </w:pPr>
      <w:r>
        <w:rPr>
          <w:rFonts w:ascii="Arial" w:cs="Arial" w:eastAsia="Arial" w:hAnsi="Arial"/>
          <w:b/>
          <w:bCs/>
          <w:sz w:val="26"/>
          <w:szCs w:val="26"/>
        </w:rPr>
        <w:t xml:space="preserve">5.1 Internal Communication</w:t>
      </w:r>
    </w:p>
    <w:p>
      <w:pPr>
        <w:spacing w:after="120"/>
      </w:pPr>
      <w:r>
        <w:rPr>
          <w:rFonts w:ascii="Arial" w:cs="Arial" w:eastAsia="Arial" w:hAnsi="Arial"/>
          <w:i/>
          <w:iCs/>
          <w:color w:val="888888"/>
          <w:sz w:val="20"/>
          <w:szCs w:val="20"/>
        </w:rPr>
        <w:t xml:space="preserve">[Notification chain during a disruption: who activates the plan, how team members are notified (primary: Teams/Slack, backup: phone tree, tertiary: personal email). Emergency contact list maintained and verified quarterly.]</w:t>
      </w:r>
    </w:p>
    <w:p>
      <w:pPr>
        <w:pStyle w:val="Heading2"/>
        <w:spacing w:before="280" w:after="160"/>
      </w:pPr>
      <w:r>
        <w:rPr>
          <w:rFonts w:ascii="Arial" w:cs="Arial" w:eastAsia="Arial" w:hAnsi="Arial"/>
          <w:b/>
          <w:bCs/>
          <w:sz w:val="26"/>
          <w:szCs w:val="26"/>
        </w:rPr>
        <w:t xml:space="preserve">5.2 Client Communication</w:t>
      </w:r>
    </w:p>
    <w:p>
      <w:pPr>
        <w:spacing w:after="120"/>
      </w:pPr>
      <w:r>
        <w:rPr>
          <w:rFonts w:ascii="Arial" w:cs="Arial" w:eastAsia="Arial" w:hAnsi="Arial"/>
          <w:i/>
          <w:iCs/>
          <w:color w:val="888888"/>
          <w:sz w:val="20"/>
          <w:szCs w:val="20"/>
        </w:rPr>
        <w:t xml:space="preserve">[Client notification procedures during service disruption: initial notification within [X hours], status updates every [X hours], resolution notification. Communication channels: email, phone, status page. Pre-drafted templates included as appendix.]</w:t>
      </w:r>
    </w:p>
    <w:p>
      <w:pPr>
        <w:pStyle w:val="Heading2"/>
        <w:spacing w:before="280" w:after="160"/>
      </w:pPr>
      <w:r>
        <w:rPr>
          <w:rFonts w:ascii="Arial" w:cs="Arial" w:eastAsia="Arial" w:hAnsi="Arial"/>
          <w:b/>
          <w:bCs/>
          <w:sz w:val="26"/>
          <w:szCs w:val="26"/>
        </w:rPr>
        <w:t xml:space="preserve">5.3 Vendor Communication</w:t>
      </w:r>
    </w:p>
    <w:p>
      <w:pPr>
        <w:spacing w:after="120"/>
      </w:pPr>
      <w:r>
        <w:rPr>
          <w:rFonts w:ascii="Arial" w:cs="Arial" w:eastAsia="Arial" w:hAnsi="Arial"/>
          <w:i/>
          <w:iCs/>
          <w:color w:val="888888"/>
          <w:sz w:val="20"/>
          <w:szCs w:val="20"/>
        </w:rPr>
        <w:t xml:space="preserve">[Escalation procedures for critical vendor outages. Key vendor support contacts and SLA references.]</w:t>
      </w:r>
    </w:p>
    <w:p>
      <w:pPr>
        <w:pStyle w:val="Heading1"/>
        <w:spacing w:before="360" w:after="200"/>
      </w:pPr>
      <w:r>
        <w:rPr>
          <w:rFonts w:ascii="Arial" w:cs="Arial" w:eastAsia="Arial" w:hAnsi="Arial"/>
          <w:b/>
          <w:bCs/>
          <w:sz w:val="32"/>
          <w:szCs w:val="32"/>
        </w:rPr>
        <w:t xml:space="preserve">6. Plan Activation</w:t>
      </w:r>
    </w:p>
    <w:p>
      <w:pPr>
        <w:pStyle w:val="Heading2"/>
        <w:spacing w:before="280" w:after="160"/>
      </w:pPr>
      <w:r>
        <w:rPr>
          <w:rFonts w:ascii="Arial" w:cs="Arial" w:eastAsia="Arial" w:hAnsi="Arial"/>
          <w:b/>
          <w:bCs/>
          <w:sz w:val="26"/>
          <w:szCs w:val="26"/>
        </w:rPr>
        <w:t xml:space="preserve">6.1 Activation Criteria</w:t>
      </w:r>
    </w:p>
    <w:p>
      <w:pPr>
        <w:spacing w:after="120"/>
      </w:pPr>
      <w:r>
        <w:rPr>
          <w:rFonts w:ascii="Arial" w:cs="Arial" w:eastAsia="Arial" w:hAnsi="Arial"/>
          <w:i/>
          <w:iCs/>
          <w:color w:val="888888"/>
          <w:sz w:val="20"/>
          <w:szCs w:val="20"/>
        </w:rPr>
        <w:t xml:space="preserve">[Define what triggers plan activation: duration of outage, scope of impact, number of clients affected, type of event. Who has authority to activate the plan.]</w:t>
      </w:r>
    </w:p>
    <w:p>
      <w:pPr>
        <w:pStyle w:val="Heading2"/>
        <w:spacing w:before="280" w:after="160"/>
      </w:pPr>
      <w:r>
        <w:rPr>
          <w:rFonts w:ascii="Arial" w:cs="Arial" w:eastAsia="Arial" w:hAnsi="Arial"/>
          <w:b/>
          <w:bCs/>
          <w:sz w:val="26"/>
          <w:szCs w:val="26"/>
        </w:rPr>
        <w:t xml:space="preserve">6.2 Activation Procedures</w:t>
      </w:r>
    </w:p>
    <w:p>
      <w:pPr>
        <w:spacing w:after="120"/>
      </w:pPr>
      <w:r>
        <w:rPr>
          <w:rFonts w:ascii="Arial" w:cs="Arial" w:eastAsia="Arial" w:hAnsi="Arial"/>
          <w:i/>
          <w:iCs/>
          <w:color w:val="888888"/>
          <w:sz w:val="20"/>
          <w:szCs w:val="20"/>
        </w:rPr>
        <w:t xml:space="preserve">[Step-by-step activation checklist: assess situation, activate IRT/BC team, initiate communication plan, begin recovery procedures per applicable scenario, establish command cadence for status updates.]</w:t>
      </w:r>
    </w:p>
    <w:p>
      <w:pPr>
        <w:pStyle w:val="Heading2"/>
        <w:spacing w:before="280" w:after="160"/>
      </w:pPr>
      <w:r>
        <w:rPr>
          <w:rFonts w:ascii="Arial" w:cs="Arial" w:eastAsia="Arial" w:hAnsi="Arial"/>
          <w:b/>
          <w:bCs/>
          <w:sz w:val="26"/>
          <w:szCs w:val="26"/>
        </w:rPr>
        <w:t xml:space="preserve">6.3 Deactivation and Return to Normal</w:t>
      </w:r>
    </w:p>
    <w:p>
      <w:pPr>
        <w:spacing w:after="120"/>
      </w:pPr>
      <w:r>
        <w:rPr>
          <w:rFonts w:ascii="Arial" w:cs="Arial" w:eastAsia="Arial" w:hAnsi="Arial"/>
          <w:i/>
          <w:iCs/>
          <w:color w:val="888888"/>
          <w:sz w:val="20"/>
          <w:szCs w:val="20"/>
        </w:rPr>
        <w:t xml:space="preserve">[Criteria for returning to normal operations. Validation that all systems are restored and functioning. Post-event review initiation.]</w:t>
      </w:r>
    </w:p>
    <w:p>
      <w:pPr>
        <w:pStyle w:val="Heading1"/>
        <w:spacing w:before="360" w:after="200"/>
      </w:pPr>
      <w:r>
        <w:rPr>
          <w:rFonts w:ascii="Arial" w:cs="Arial" w:eastAsia="Arial" w:hAnsi="Arial"/>
          <w:b/>
          <w:bCs/>
          <w:sz w:val="32"/>
          <w:szCs w:val="32"/>
        </w:rPr>
        <w:t xml:space="preserve">7. Testing and Maintenance</w:t>
      </w:r>
    </w:p>
    <w:p>
      <w:pPr>
        <w:pStyle w:val="Heading2"/>
        <w:spacing w:before="280" w:after="160"/>
      </w:pPr>
      <w:r>
        <w:rPr>
          <w:rFonts w:ascii="Arial" w:cs="Arial" w:eastAsia="Arial" w:hAnsi="Arial"/>
          <w:b/>
          <w:bCs/>
          <w:sz w:val="26"/>
          <w:szCs w:val="26"/>
        </w:rPr>
        <w:t xml:space="preserve">7.1 Testing Schedule</w:t>
      </w:r>
    </w:p>
    <w:p>
      <w:pPr>
        <w:spacing w:after="120"/>
      </w:pPr>
      <w:r>
        <w:rPr>
          <w:rFonts w:ascii="Arial" w:cs="Arial" w:eastAsia="Arial" w:hAnsi="Arial"/>
          <w:i/>
          <w:iCs/>
          <w:color w:val="888888"/>
          <w:sz w:val="20"/>
          <w:szCs w:val="20"/>
        </w:rPr>
        <w:t xml:space="preserve">[Semi-annual BCP/DR testing: tabletop exercises (at minimum) plus live failover/restoration drills. Additional testing after significant infrastructure changes or plan-activating events.]</w:t>
      </w:r>
    </w:p>
    <w:p>
      <w:pPr>
        <w:pStyle w:val="Heading2"/>
        <w:spacing w:before="280" w:after="160"/>
      </w:pPr>
      <w:r>
        <w:rPr>
          <w:rFonts w:ascii="Arial" w:cs="Arial" w:eastAsia="Arial" w:hAnsi="Arial"/>
          <w:b/>
          <w:bCs/>
          <w:sz w:val="26"/>
          <w:szCs w:val="26"/>
        </w:rPr>
        <w:t xml:space="preserve">7.2 Test Documentation</w:t>
      </w:r>
    </w:p>
    <w:p>
      <w:pPr>
        <w:spacing w:after="120"/>
      </w:pPr>
      <w:r>
        <w:rPr>
          <w:rFonts w:ascii="Arial" w:cs="Arial" w:eastAsia="Arial" w:hAnsi="Arial"/>
          <w:i/>
          <w:iCs/>
          <w:color w:val="888888"/>
          <w:sz w:val="20"/>
          <w:szCs w:val="20"/>
        </w:rPr>
        <w:t xml:space="preserve">[Document all test activities: date, participants, scenario, results, gaps identified, improvement actions, sign-off. Retain for audit purposes.]</w:t>
      </w:r>
    </w:p>
    <w:p>
      <w:pPr>
        <w:pStyle w:val="Heading2"/>
        <w:spacing w:before="280" w:after="160"/>
      </w:pPr>
      <w:r>
        <w:rPr>
          <w:rFonts w:ascii="Arial" w:cs="Arial" w:eastAsia="Arial" w:hAnsi="Arial"/>
          <w:b/>
          <w:bCs/>
          <w:sz w:val="26"/>
          <w:szCs w:val="26"/>
        </w:rPr>
        <w:t xml:space="preserve">7.3 Plan Review</w:t>
      </w:r>
    </w:p>
    <w:p>
      <w:pPr>
        <w:spacing w:after="120"/>
      </w:pPr>
      <w:r>
        <w:rPr>
          <w:rFonts w:ascii="Arial" w:cs="Arial" w:eastAsia="Arial" w:hAnsi="Arial"/>
          <w:i/>
          <w:iCs/>
          <w:color w:val="888888"/>
          <w:sz w:val="20"/>
          <w:szCs w:val="20"/>
        </w:rPr>
        <w:t xml:space="preserve">[Annual review and approval. Out-of-cycle updates for: infrastructure changes, new client SLA requirements, vendor changes, lessons learned from incidents or tests, regulatory updates.]</w:t>
      </w:r>
    </w:p>
    <w:p>
      <w:pPr>
        <w:pStyle w:val="Heading2"/>
        <w:spacing w:before="280" w:after="160"/>
      </w:pPr>
      <w:r>
        <w:rPr>
          <w:rFonts w:ascii="Arial" w:cs="Arial" w:eastAsia="Arial" w:hAnsi="Arial"/>
          <w:b/>
          <w:bCs/>
          <w:sz w:val="26"/>
          <w:szCs w:val="26"/>
        </w:rPr>
        <w:t xml:space="preserve">7.4 Version History</w:t>
      </w:r>
    </w:p>
    <w:p>
      <w:pPr>
        <w:spacing w:after="120"/>
      </w:pPr>
      <w:r>
        <w:rPr>
          <w:rFonts w:ascii="Arial" w:cs="Arial" w:eastAsia="Arial" w:hAnsi="Arial"/>
          <w:i/>
          <w:iCs/>
          <w:color w:val="888888"/>
          <w:sz w:val="20"/>
          <w:szCs w:val="20"/>
        </w:rPr>
        <w:t xml:space="preserve">[Version history table: version number, date, author, description of changes.]</w:t>
      </w:r>
    </w:p>
    <w:p>
      <w:pPr>
        <w:pStyle w:val="Heading1"/>
        <w:spacing w:before="360" w:after="200"/>
      </w:pPr>
      <w:r>
        <w:rPr>
          <w:rFonts w:ascii="Arial" w:cs="Arial" w:eastAsia="Arial" w:hAnsi="Arial"/>
          <w:b/>
          <w:bCs/>
          <w:sz w:val="32"/>
          <w:szCs w:val="32"/>
        </w:rPr>
        <w:t xml:space="preserve">Appendices</w:t>
      </w:r>
    </w:p>
    <w:p>
      <w:pPr>
        <w:pStyle w:val="Heading2"/>
        <w:spacing w:before="280" w:after="160"/>
      </w:pPr>
      <w:r>
        <w:rPr>
          <w:rFonts w:ascii="Arial" w:cs="Arial" w:eastAsia="Arial" w:hAnsi="Arial"/>
          <w:b/>
          <w:bCs/>
          <w:sz w:val="26"/>
          <w:szCs w:val="26"/>
        </w:rPr>
        <w:t xml:space="preserve">Appendix A: Critical Systems Inventory</w:t>
      </w:r>
    </w:p>
    <w:p>
      <w:pPr>
        <w:spacing w:after="120"/>
      </w:pPr>
      <w:r>
        <w:rPr>
          <w:rFonts w:ascii="Arial" w:cs="Arial" w:eastAsia="Arial" w:hAnsi="Arial"/>
          <w:i/>
          <w:iCs/>
          <w:color w:val="888888"/>
          <w:sz w:val="20"/>
          <w:szCs w:val="20"/>
        </w:rPr>
        <w:t xml:space="preserve">[Table of all critical systems with: system name, function, owner, hosting location, RTO, RPO, backup method, recovery procedure reference.]</w:t>
      </w:r>
    </w:p>
    <w:p>
      <w:pPr>
        <w:pStyle w:val="Heading2"/>
        <w:spacing w:before="280" w:after="160"/>
      </w:pPr>
      <w:r>
        <w:rPr>
          <w:rFonts w:ascii="Arial" w:cs="Arial" w:eastAsia="Arial" w:hAnsi="Arial"/>
          <w:b/>
          <w:bCs/>
          <w:sz w:val="26"/>
          <w:szCs w:val="26"/>
        </w:rPr>
        <w:t xml:space="preserve">Appendix B: Emergency Contact List</w:t>
      </w:r>
    </w:p>
    <w:p>
      <w:pPr>
        <w:spacing w:after="120"/>
      </w:pPr>
      <w:r>
        <w:rPr>
          <w:rFonts w:ascii="Arial" w:cs="Arial" w:eastAsia="Arial" w:hAnsi="Arial"/>
          <w:i/>
          <w:iCs/>
          <w:color w:val="888888"/>
          <w:sz w:val="20"/>
          <w:szCs w:val="20"/>
        </w:rPr>
        <w:t xml:space="preserve">[Internal team contacts (primary + backup), key vendor support contacts, insurance carrier, legal counsel. Verified quarterly.]</w:t>
      </w:r>
    </w:p>
    <w:p>
      <w:pPr>
        <w:pStyle w:val="Heading2"/>
        <w:spacing w:before="280" w:after="160"/>
      </w:pPr>
      <w:r>
        <w:rPr>
          <w:rFonts w:ascii="Arial" w:cs="Arial" w:eastAsia="Arial" w:hAnsi="Arial"/>
          <w:b/>
          <w:bCs/>
          <w:sz w:val="26"/>
          <w:szCs w:val="26"/>
        </w:rPr>
        <w:t xml:space="preserve">Appendix C: Client Notification Templates</w:t>
      </w:r>
    </w:p>
    <w:p>
      <w:pPr>
        <w:spacing w:after="120"/>
      </w:pPr>
      <w:r>
        <w:rPr>
          <w:rFonts w:ascii="Arial" w:cs="Arial" w:eastAsia="Arial" w:hAnsi="Arial"/>
          <w:i/>
          <w:iCs/>
          <w:color w:val="888888"/>
          <w:sz w:val="20"/>
          <w:szCs w:val="20"/>
        </w:rPr>
        <w:t xml:space="preserve">[Pre-drafted outage/disruption notification templates for various scenarios.]</w:t>
      </w:r>
    </w:p>
    <w:p>
      <w:pPr>
        <w:pStyle w:val="Heading2"/>
        <w:spacing w:before="280" w:after="160"/>
      </w:pPr>
      <w:r>
        <w:rPr>
          <w:rFonts w:ascii="Arial" w:cs="Arial" w:eastAsia="Arial" w:hAnsi="Arial"/>
          <w:b/>
          <w:bCs/>
          <w:sz w:val="26"/>
          <w:szCs w:val="26"/>
        </w:rPr>
        <w:t xml:space="preserve">Appendix D: Recovery Checklists</w:t>
      </w:r>
    </w:p>
    <w:p>
      <w:pPr>
        <w:spacing w:after="120"/>
      </w:pPr>
      <w:r>
        <w:rPr>
          <w:rFonts w:ascii="Arial" w:cs="Arial" w:eastAsia="Arial" w:hAnsi="Arial"/>
          <w:i/>
          <w:iCs/>
          <w:color w:val="888888"/>
          <w:sz w:val="20"/>
          <w:szCs w:val="20"/>
        </w:rPr>
        <w:t xml:space="preserve">[Step-by-step recovery checklists for each scenario type: data center failover, ransomware recovery, facility loss, vendor outage.]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Technijian Corporation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2026-03-06T20:44:41.424Z</dcterms:created>
  <dcterms:modified xsi:type="dcterms:W3CDTF">2026-03-06T20:44:41.424Z</dcterms:modified>
</cp:coreProperties>
</file>

<file path=docProps/custom.xml><?xml version="1.0" encoding="utf-8"?>
<Properties xmlns="http://schemas.openxmlformats.org/officeDocument/2006/custom-properties" xmlns:vt="http://schemas.openxmlformats.org/officeDocument/2006/docPropsVTypes"/>
</file>