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AI Consulting and Automation — Fractional CTO Advisory
Pet Care Plus</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May 15,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SOW-PCAP-001-AI-Advisory</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May 15, 2026</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None on file — Section 9.03 governs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Pet Care Plus (“Client”)</w:t>
      </w:r>
    </w:p>
    <w:p>
      <w:r>
        <w:rPr>
          <w:rFonts w:ascii="Open Sans" w:cs="Open Sans" w:eastAsia="Open Sans" w:hAnsi="Open Sans"/>
          <w:color w:val="59595B"/>
          <w:sz w:val="22"/>
          <w:szCs w:val="22"/>
        </w:rPr>
        <w:t xml:space="preserve">[Address — to be confirmed by Client]</w:t>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Chris Stavrianos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AI Consulting and Automation — Fractional CTO Advisory Engagement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Pet Care Plus (“Client”) seeks specialized advisory support to evaluate, design, and guide the adoption of artificial intelligence and automation technologies across its business operations. Technijian will provide fractional Chief Technology Officer (CTO) advisory services on a time-and-materials basis.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The specific work to be performed will be determined collaboratively by Client and Technijian as the engagement progresses. This SOW establishes the engagement terms, hourly rate, and governing provisions. Deliverables, timelines, and activities are not predefined — all work is authorized by Client on an as-needed basis.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Technijian will bill for actual hours worked at the CTO Advisory rate of </w:t>
      </w:r>
    </w:p>
    <w:p>
      <w:r>
        <w:rPr>
          <w:rFonts w:ascii="Open Sans" w:cs="Open Sans" w:eastAsia="Open Sans" w:hAnsi="Open Sans"/>
          <w:b/>
          <w:bCs/>
          <w:color w:val="1A1A2E"/>
          <w:sz w:val="22"/>
          <w:szCs w:val="22"/>
        </w:rPr>
        <w:t xml:space="preserve">$250 per hour, invoiced weekly every Friday for hours worked in that week.</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600"/>
        <w:gridCol w:w="1560"/>
      </w:tblGrid>
      <w:tr>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2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Pet Care Plus — Primary</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PCAP-HQ</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To be confirmed</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w:t>
      </w:r>
    </w:p>
    <w:p>
      <w:r>
        <w:rPr>
          <w:rFonts w:ascii="Open Sans" w:cs="Open Sans" w:eastAsia="Open Sans" w:hAnsi="Open Sans"/>
          <w:color w:val="59595B"/>
          <w:sz w:val="22"/>
          <w:szCs w:val="22"/>
        </w:rPr>
        <w:t xml:space="preserve">All CTO-level advisory, consulting, and automation guidance work requested by Client, including but not limited to:</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AI strategy and roadmap development</w:t>
      </w:r>
    </w:p>
    <w:p>
      <w:pPr>
        <w:pStyle w:val="ListParagraph"/>
        <w:numPr>
          <w:ilvl w:val="0"/>
          <w:numId w:val="2"/>
        </w:numPr>
      </w:pPr>
      <w:r>
        <w:rPr>
          <w:rFonts w:ascii="Open Sans" w:cs="Open Sans" w:eastAsia="Open Sans" w:hAnsi="Open Sans"/>
          <w:color w:val="59595B"/>
          <w:sz w:val="22"/>
          <w:szCs w:val="22"/>
        </w:rPr>
        <w:t xml:space="preserve">Technology platform and vendor evaluation</w:t>
      </w:r>
    </w:p>
    <w:p>
      <w:pPr>
        <w:pStyle w:val="ListParagraph"/>
        <w:numPr>
          <w:ilvl w:val="0"/>
          <w:numId w:val="2"/>
        </w:numPr>
      </w:pPr>
      <w:r>
        <w:rPr>
          <w:rFonts w:ascii="Open Sans" w:cs="Open Sans" w:eastAsia="Open Sans" w:hAnsi="Open Sans"/>
          <w:color w:val="59595B"/>
          <w:sz w:val="22"/>
          <w:szCs w:val="22"/>
        </w:rPr>
        <w:t xml:space="preserve">Process automation analysis and design guidance</w:t>
      </w:r>
    </w:p>
    <w:p>
      <w:pPr>
        <w:pStyle w:val="ListParagraph"/>
        <w:numPr>
          <w:ilvl w:val="0"/>
          <w:numId w:val="2"/>
        </w:numPr>
      </w:pPr>
      <w:r>
        <w:rPr>
          <w:rFonts w:ascii="Open Sans" w:cs="Open Sans" w:eastAsia="Open Sans" w:hAnsi="Open Sans"/>
          <w:color w:val="59595B"/>
          <w:sz w:val="22"/>
          <w:szCs w:val="22"/>
        </w:rPr>
        <w:t xml:space="preserve">AI tool selection, architecture guidance, and implementation oversight</w:t>
      </w:r>
    </w:p>
    <w:p>
      <w:pPr>
        <w:pStyle w:val="ListParagraph"/>
        <w:numPr>
          <w:ilvl w:val="0"/>
          <w:numId w:val="2"/>
        </w:numPr>
      </w:pPr>
      <w:r>
        <w:rPr>
          <w:rFonts w:ascii="Open Sans" w:cs="Open Sans" w:eastAsia="Open Sans" w:hAnsi="Open Sans"/>
          <w:color w:val="59595B"/>
          <w:sz w:val="22"/>
          <w:szCs w:val="22"/>
        </w:rPr>
        <w:t xml:space="preserve">Staff enablement and knowledge transfer</w:t>
      </w:r>
    </w:p>
    <w:p>
      <w:pPr>
        <w:pStyle w:val="ListParagraph"/>
        <w:numPr>
          <w:ilvl w:val="0"/>
          <w:numId w:val="2"/>
        </w:numPr>
      </w:pPr>
      <w:r>
        <w:rPr>
          <w:rFonts w:ascii="Open Sans" w:cs="Open Sans" w:eastAsia="Open Sans" w:hAnsi="Open Sans"/>
          <w:color w:val="59595B"/>
          <w:sz w:val="22"/>
          <w:szCs w:val="22"/>
        </w:rPr>
        <w:t xml:space="preserve">Vendor meeting attendance and technical representation on behalf of Client</w:t>
      </w:r>
    </w:p>
    <w:p>
      <w:pPr>
        <w:pStyle w:val="ListParagraph"/>
        <w:numPr>
          <w:ilvl w:val="0"/>
          <w:numId w:val="2"/>
        </w:numPr>
      </w:pPr>
      <w:r>
        <w:rPr>
          <w:rFonts w:ascii="Open Sans" w:cs="Open Sans" w:eastAsia="Open Sans" w:hAnsi="Open Sans"/>
          <w:color w:val="59595B"/>
          <w:sz w:val="22"/>
          <w:szCs w:val="22"/>
        </w:rPr>
        <w:t xml:space="preserve">Ad hoc consultation on any AI, automation, or technology strategy topic</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w:t>
      </w:r>
    </w:p>
    <w:p>
      <w:pPr>
        <w:spacing w:after="120"/>
      </w:pPr>
      <w:r>
        <w:rPr>
          <w:rFonts w:ascii="Open Sans" w:cs="Open Sans" w:eastAsia="Open Sans" w:hAnsi="Open Sans"/>
          <w:color w:val="59595B"/>
          <w:sz w:val="22"/>
          <w:szCs w:val="22"/>
        </w:rPr>
        <w:t xml:space="preserve"/>
      </w:r>
    </w:p>
    <w:p>
      <w:pPr>
        <w:pStyle w:val="ListParagraph"/>
        <w:numPr>
          <w:ilvl w:val="0"/>
          <w:numId w:val="3"/>
        </w:numPr>
      </w:pPr>
      <w:r>
        <w:rPr>
          <w:rFonts w:ascii="Open Sans" w:cs="Open Sans" w:eastAsia="Open Sans" w:hAnsi="Open Sans"/>
          <w:color w:val="59595B"/>
          <w:sz w:val="22"/>
          <w:szCs w:val="22"/>
        </w:rPr>
        <w:t xml:space="preserve">Hands-on software development, coding, or application deployment (covered under a separate SOW at Developer rates)</w:t>
      </w:r>
    </w:p>
    <w:p>
      <w:pPr>
        <w:pStyle w:val="ListParagraph"/>
        <w:numPr>
          <w:ilvl w:val="0"/>
          <w:numId w:val="3"/>
        </w:numPr>
      </w:pPr>
      <w:r>
        <w:rPr>
          <w:rFonts w:ascii="Open Sans" w:cs="Open Sans" w:eastAsia="Open Sans" w:hAnsi="Open Sans"/>
          <w:color w:val="59595B"/>
          <w:sz w:val="22"/>
          <w:szCs w:val="22"/>
        </w:rPr>
        <w:t xml:space="preserve">Direct management of Client employees or contractors</w:t>
      </w:r>
    </w:p>
    <w:p>
      <w:pPr>
        <w:pStyle w:val="ListParagraph"/>
        <w:numPr>
          <w:ilvl w:val="0"/>
          <w:numId w:val="3"/>
        </w:numPr>
      </w:pPr>
      <w:r>
        <w:rPr>
          <w:rFonts w:ascii="Open Sans" w:cs="Open Sans" w:eastAsia="Open Sans" w:hAnsi="Open Sans"/>
          <w:color w:val="59595B"/>
          <w:sz w:val="22"/>
          <w:szCs w:val="22"/>
        </w:rPr>
        <w:t xml:space="preserve">Procurement of software licenses or hardware on behalf of Client</w:t>
      </w:r>
    </w:p>
    <w:p>
      <w:pPr>
        <w:pStyle w:val="ListParagraph"/>
        <w:numPr>
          <w:ilvl w:val="0"/>
          <w:numId w:val="3"/>
        </w:numPr>
      </w:pPr>
      <w:r>
        <w:rPr>
          <w:rFonts w:ascii="Open Sans" w:cs="Open Sans" w:eastAsia="Open Sans" w:hAnsi="Open Sans"/>
          <w:color w:val="59595B"/>
          <w:sz w:val="22"/>
          <w:szCs w:val="22"/>
        </w:rPr>
        <w:t xml:space="preserve">Regulatory compliance certification or audit preparation (unless separately scoped)</w:t>
      </w:r>
    </w:p>
    <w:p>
      <w:pPr>
        <w:pStyle w:val="ListParagraph"/>
        <w:numPr>
          <w:ilvl w:val="0"/>
          <w:numId w:val="3"/>
        </w:numPr>
      </w:pPr>
      <w:r>
        <w:rPr>
          <w:rFonts w:ascii="Open Sans" w:cs="Open Sans" w:eastAsia="Open Sans" w:hAnsi="Open Sans"/>
          <w:color w:val="59595B"/>
          <w:sz w:val="22"/>
          <w:szCs w:val="22"/>
        </w:rPr>
        <w:t xml:space="preserve">24/7 on-call or incident response (covered under a separate managed services engagement)</w:t>
      </w:r>
    </w:p>
    <w:p>
      <w:pPr>
        <w:pStyle w:val="ListParagraph"/>
        <w:numPr>
          <w:ilvl w:val="0"/>
          <w:numId w:val="3"/>
        </w:numPr>
      </w:pPr>
      <w:r>
        <w:rPr>
          <w:rFonts w:ascii="Open Sans" w:cs="Open Sans" w:eastAsia="Open Sans" w:hAnsi="Open Sans"/>
          <w:color w:val="59595B"/>
          <w:sz w:val="22"/>
          <w:szCs w:val="22"/>
        </w:rPr>
        <w:t xml:space="preserve">Any work on Client’s production systems or live infrastructure (requires an executed MSA per Section 9.02)</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spacing w:after="120"/>
      </w:pPr>
      <w:r>
        <w:rPr>
          <w:rFonts w:ascii="Open Sans" w:cs="Open Sans" w:eastAsia="Open Sans" w:hAnsi="Open Sans"/>
          <w:color w:val="59595B"/>
          <w:sz w:val="22"/>
          <w:szCs w:val="22"/>
        </w:rPr>
        <w:t xml:space="preserve"/>
      </w:r>
    </w:p>
    <w:p>
      <w:pPr>
        <w:pStyle w:val="ListParagraph"/>
        <w:numPr>
          <w:ilvl w:val="0"/>
          <w:numId w:val="4"/>
        </w:numPr>
      </w:pPr>
      <w:r>
        <w:rPr>
          <w:rFonts w:ascii="Open Sans" w:cs="Open Sans" w:eastAsia="Open Sans" w:hAnsi="Open Sans"/>
          <w:color w:val="59595B"/>
          <w:sz w:val="22"/>
          <w:szCs w:val="22"/>
        </w:rPr>
        <w:t xml:space="preserve">Client will designate Chris Stavrianos as the primary authorized contact</w:t>
      </w:r>
    </w:p>
    <w:p>
      <w:pPr>
        <w:pStyle w:val="ListParagraph"/>
        <w:numPr>
          <w:ilvl w:val="0"/>
          <w:numId w:val="4"/>
        </w:numPr>
      </w:pPr>
      <w:r>
        <w:rPr>
          <w:rFonts w:ascii="Open Sans" w:cs="Open Sans" w:eastAsia="Open Sans" w:hAnsi="Open Sans"/>
          <w:color w:val="59595B"/>
          <w:sz w:val="22"/>
          <w:szCs w:val="22"/>
        </w:rPr>
        <w:t xml:space="preserve">Work is initiated at Client’s direction — no minimum hours are committed by either Party</w:t>
      </w:r>
    </w:p>
    <w:p>
      <w:pPr>
        <w:pStyle w:val="ListParagraph"/>
        <w:numPr>
          <w:ilvl w:val="0"/>
          <w:numId w:val="4"/>
        </w:numPr>
      </w:pPr>
      <w:r>
        <w:rPr>
          <w:rFonts w:ascii="Open Sans" w:cs="Open Sans" w:eastAsia="Open Sans" w:hAnsi="Open Sans"/>
          <w:color w:val="59595B"/>
          <w:sz w:val="22"/>
          <w:szCs w:val="22"/>
        </w:rPr>
        <w:t xml:space="preserve">Implementation work requiring access to Client’s production systems will trigger the MSA execution requirement under Section 9.02</w:t>
      </w:r>
    </w:p>
    <w:p>
      <w:pPr>
        <w:pStyle w:val="ListParagraph"/>
        <w:numPr>
          <w:ilvl w:val="0"/>
          <w:numId w:val="4"/>
        </w:numPr>
      </w:pPr>
      <w:r>
        <w:rPr>
          <w:rFonts w:ascii="Open Sans" w:cs="Open Sans" w:eastAsia="Open Sans" w:hAnsi="Open Sans"/>
          <w:color w:val="59595B"/>
          <w:sz w:val="22"/>
          <w:szCs w:val="22"/>
        </w:rPr>
        <w:t xml:space="preserve">Out-of-area travel expenses (if required) are reimbursed at cost; local travel is included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PROJECT PHASES</w:t>
      </w:r>
    </w:p>
    <w:p>
      <w:pPr>
        <w:pStyle w:val="Heading2"/>
      </w:pPr>
      <w:r>
        <w:rPr>
          <w:rFonts w:ascii="Open Sans" w:cs="Open Sans" w:eastAsia="Open Sans" w:hAnsi="Open Sans"/>
          <w:color w:val="59595B"/>
          <w:sz w:val="22"/>
          <w:szCs w:val="22"/>
        </w:rPr>
        <w:t xml:space="preserve">Ongoing Advisory (Time-and-Materials)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3.1.1 Description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All advisory and consulting work under this SOW is performed on a time-and-materials basis with no predefined phases, milestones, or deliverable schedule. Technijian will perform work at Client’s direction, log all time in 15-minute increments, and invoice monthly in arrears.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3.1.2 Deliverables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Deliverables are determined by Client on an as-needed basis. Examples include:</w:t>
      </w:r>
    </w:p>
    <w:p>
      <w:pPr>
        <w:spacing w:after="120"/>
      </w:pPr>
      <w:r>
        <w:rPr>
          <w:rFonts w:ascii="Open Sans" w:cs="Open Sans" w:eastAsia="Open Sans" w:hAnsi="Open Sans"/>
          <w:color w:val="59595B"/>
          <w:sz w:val="22"/>
          <w:szCs w:val="22"/>
        </w:rPr>
        <w:t xml:space="preserve"/>
      </w:r>
    </w:p>
    <w:p>
      <w:pPr>
        <w:pStyle w:val="ListParagraph"/>
        <w:numPr>
          <w:ilvl w:val="0"/>
          <w:numId w:val="5"/>
        </w:numPr>
      </w:pPr>
      <w:r>
        <w:rPr>
          <w:rFonts w:ascii="Open Sans" w:cs="Open Sans" w:eastAsia="Open Sans" w:hAnsi="Open Sans"/>
          <w:color w:val="59595B"/>
          <w:sz w:val="22"/>
          <w:szCs w:val="22"/>
        </w:rPr>
        <w:t xml:space="preserve">Strategy documents and assessments</w:t>
      </w:r>
    </w:p>
    <w:p>
      <w:pPr>
        <w:pStyle w:val="ListParagraph"/>
        <w:numPr>
          <w:ilvl w:val="0"/>
          <w:numId w:val="5"/>
        </w:numPr>
      </w:pPr>
      <w:r>
        <w:rPr>
          <w:rFonts w:ascii="Open Sans" w:cs="Open Sans" w:eastAsia="Open Sans" w:hAnsi="Open Sans"/>
          <w:color w:val="59595B"/>
          <w:sz w:val="22"/>
          <w:szCs w:val="22"/>
        </w:rPr>
        <w:t xml:space="preserve">Vendor evaluation memos</w:t>
      </w:r>
    </w:p>
    <w:p>
      <w:pPr>
        <w:pStyle w:val="ListParagraph"/>
        <w:numPr>
          <w:ilvl w:val="0"/>
          <w:numId w:val="5"/>
        </w:numPr>
      </w:pPr>
      <w:r>
        <w:rPr>
          <w:rFonts w:ascii="Open Sans" w:cs="Open Sans" w:eastAsia="Open Sans" w:hAnsi="Open Sans"/>
          <w:color w:val="59595B"/>
          <w:sz w:val="22"/>
          <w:szCs w:val="22"/>
        </w:rPr>
        <w:t xml:space="preserve">Architecture decision records</w:t>
      </w:r>
    </w:p>
    <w:p>
      <w:pPr>
        <w:pStyle w:val="ListParagraph"/>
        <w:numPr>
          <w:ilvl w:val="0"/>
          <w:numId w:val="5"/>
        </w:numPr>
      </w:pPr>
      <w:r>
        <w:rPr>
          <w:rFonts w:ascii="Open Sans" w:cs="Open Sans" w:eastAsia="Open Sans" w:hAnsi="Open Sans"/>
          <w:color w:val="59595B"/>
          <w:sz w:val="22"/>
          <w:szCs w:val="22"/>
        </w:rPr>
        <w:t xml:space="preserve">Meeting notes and action items</w:t>
      </w:r>
    </w:p>
    <w:p>
      <w:pPr>
        <w:pStyle w:val="ListParagraph"/>
        <w:numPr>
          <w:ilvl w:val="0"/>
          <w:numId w:val="5"/>
        </w:numPr>
      </w:pPr>
      <w:r>
        <w:rPr>
          <w:rFonts w:ascii="Open Sans" w:cs="Open Sans" w:eastAsia="Open Sans" w:hAnsi="Open Sans"/>
          <w:color w:val="59595B"/>
          <w:sz w:val="22"/>
          <w:szCs w:val="22"/>
        </w:rPr>
        <w:t xml:space="preserve">Knowledge-transfer materials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3.1.3 Schedule</w:t>
      </w:r>
    </w:p>
    <w:p>
      <w:pPr>
        <w:spacing w:after="120"/>
      </w:pPr>
      <w:r>
        <w:rPr>
          <w:rFonts w:ascii="Open Sans" w:cs="Open Sans" w:eastAsia="Open Sans" w:hAnsi="Open Sans"/>
          <w:color w:val="59595B"/>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1600"/>
        <w:gridCol w:w="1200"/>
      </w:tblGrid>
      <w:tr>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2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Billing Increment</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All AI consulting and automation advisory work</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$250.00/hr</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 minutes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 (After-Hours)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Advisory work outside normal business hours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$350.00/hr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 minutes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TBD</w:t>
            </w:r>
          </w:p>
        </w:tc>
      </w:tr>
    </w:tbl>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r>
        <w:rPr>
          <w:rFonts w:ascii="Open Sans" w:cs="Open Sans" w:eastAsia="Open Sans" w:hAnsi="Open Sans"/>
          <w:color w:val="59595B"/>
          <w:sz w:val="22"/>
          <w:szCs w:val="22"/>
        </w:rPr>
        <w:t xml:space="preserve">Not applicable. This SOW covers advisory services only. No hardware or equipment is included.</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Rate Card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tblGrid>
      <w:tr>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Hourly Rate</w:t>
            </w:r>
          </w:p>
        </w:tc>
        <w:tc>
          <w:tcPr>
            <w:tcW w:type="dxa" w:w="20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After-Hours Rate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$250.00/hr</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$350.00/hr</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Normal business hours: Monday–Friday, 8:00 AM–6:00 PM Pacific Time, excluding US federal holidays.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Summary of Costs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400"/>
        <w:gridCol w:w="1800"/>
      </w:tblGrid>
      <w:tr>
        <w:tc>
          <w:tcPr>
            <w:tcW w:type="dxa" w:w="3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Service</w:t>
            </w:r>
          </w:p>
        </w:tc>
        <w:tc>
          <w:tcPr>
            <w:tcW w:type="dxa" w:w="16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Billing</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AI Consulting and Automation — CTO Advisory</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T&amp;M (Estimate)</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$250.00/hr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Weekly — every Friday</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i/>
          <w:iCs/>
          <w:color w:val="59595B"/>
          <w:sz w:val="22"/>
          <w:szCs w:val="22"/>
        </w:rPr>
        <w:t xml:space="preserve">There is no fixed project cost. All fees are based on actual hours worked at the applicable rate.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Payment Schedule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2560"/>
      </w:tblGrid>
      <w:tr>
        <w:tc>
          <w:tcPr>
            <w:tcW w:type="dxa" w:w="3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Milestone</w:t>
            </w:r>
          </w:p>
        </w:tc>
        <w:tc>
          <w:tcPr>
            <w:tcW w:type="dxa" w:w="2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Invoiced</w:t>
            </w:r>
          </w:p>
        </w:tc>
        <w:tc>
          <w:tcPr>
            <w:tcW w:type="dxa" w:w="2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Amount</w:t>
            </w:r>
          </w:p>
        </w:tc>
      </w:tr>
      <w:tr>
        <w:tc>
          <w:tcPr>
            <w:tcW w:type="dxa" w:w="3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Weekly — all hours worked Mon–Sun of the prior week</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Every Friday</w:t>
            </w:r>
          </w:p>
        </w:tc>
        <w:tc>
          <w:tcPr>
            <w:tcW w:type="dxa" w:w="2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Actual hours × $250.00/hr</w:t>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Payment Terms</w:t>
      </w:r>
    </w:p>
    <w:p>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Late Payment and Collection Remedies</w:t>
      </w:r>
    </w:p>
    <w:p>
      <w:pPr>
        <w:ind w:left="360"/>
      </w:pPr>
      <w:r>
        <w:rPr>
          <w:rFonts w:ascii="Open Sans" w:cs="Open Sans" w:eastAsia="Open Sans" w:hAnsi="Open Sans"/>
          <w:color w:val="59595B"/>
          <w:sz w:val="22"/>
          <w:szCs w:val="22"/>
        </w:rPr>
        <w:t xml:space="preserve">(a) If a Master Service Agreement is in effect between the Parties, the payment, late payment, acceleration, collection costs, lien, security interest, and fee-shifting provisions of the MSA shall apply in full to this SOW and shall supersede any conflicting provisions in this Section 5.5.</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If no MSA is in effect, the following shall apply:</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color w:val="59595B"/>
          <w:sz w:val="22"/>
          <w:szCs w:val="22"/>
        </w:rPr>
        <w:t xml:space="preserve">(i) Late Payment. Late payments shall accrue a late fee of 1.5% per month (or the maximum rate permitted by law, whichever is less) on the unpaid balance, calculated as simple interest from the date payment was due.</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color w:val="59595B"/>
          <w:sz w:val="22"/>
          <w:szCs w:val="22"/>
        </w:rPr>
        <w:t xml:space="preserve">(ii) Acceleration. If Client fails to pay any undisputed invoice within forty-five (45) days of the due date, all remaining fees under this SOW shall become immediately due and payable.</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color w:val="59595B"/>
          <w:sz w:val="22"/>
          <w:szCs w:val="22"/>
        </w:rPr>
        <w:t xml:space="preserve">(iii) Suspension. Technijian may suspend all work under this SOW upon ten (10) days written notice if any invoice remains unpaid beyond the due date.</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color w:val="59595B"/>
          <w:sz w:val="22"/>
          <w:szCs w:val="22"/>
        </w:rPr>
        <w:t xml:space="preserve">(iv) Collection Costs and Attorney’s Fees. In any action to collect fees owed under this SOW, the prevailing Party shall be entitled to recover all reasonable costs of collection, including attorney’s fees, collection agency fees, court costs, and all costs of appeal. Pursuant to California Civil Code Section 1717, this attorney’s fees provision is reciprocal.</w:t>
      </w:r>
    </w:p>
    <w:p>
      <w:pPr>
        <w:spacing w:after="120"/>
      </w:pPr>
      <w:r>
        <w:rPr>
          <w:rFonts w:ascii="Open Sans" w:cs="Open Sans" w:eastAsia="Open Sans" w:hAnsi="Open Sans"/>
          <w:color w:val="59595B"/>
          <w:sz w:val="22"/>
          <w:szCs w:val="22"/>
        </w:rPr>
        <w:t xml:space="preserve"/>
      </w:r>
    </w:p>
    <w:p>
      <w:pPr>
        <w:ind w:left="720"/>
      </w:pPr>
      <w:r>
        <w:rPr>
          <w:rFonts w:ascii="Open Sans" w:cs="Open Sans" w:eastAsia="Open Sans" w:hAnsi="Open Sans"/>
          <w:color w:val="59595B"/>
          <w:sz w:val="22"/>
          <w:szCs w:val="22"/>
        </w:rPr>
        <w:t xml:space="preserve">(v) Lien on Work Product. Technijian shall retain a lien on all deliverables, work product, and materials (excluding Client Data) under this SOW until all amounts owed are paid in full.</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access to relevant documentation, business processes, and personnel as reasonably required;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Chris Stavrianos as the authorized point of contact with decision-making authority on behalf of Client;</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Review and approve deliverables within five (5) business days of submission;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Ensure all relevant data is backed up prior to the start of any implementation work;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Inform users of planned service changes, maintenance windows, and downtime.</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color w:val="59595B"/>
          <w:sz w:val="22"/>
          <w:szCs w:val="22"/>
        </w:rPr>
        <w:t xml:space="preserve">7.01. Any changes to the scope, schedule, or pricing of this SOW must be documented in a written Change Order signed by both Parties before work on the change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If Client requests work outside the defined scope (e.g., hands-on development, live systems access), Technijian shall provide a Change Order detailing the additional work, applicable rates, and estimated cost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Technijian shall not proceed with out-of-scope work without an approved Change Order, except in cases where delay would result in imminent risk to Client’s systems, in which case Technijian may perform emergency work not to exceed the lesser of (a) $2,500 or (b) 10% of the prior three months’ invoiced fees. Technijian shall issue a retrospective Change Order within three (3) business days.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w:t>
      </w:r>
    </w:p>
    <w:p>
      <w:r>
        <w:rPr>
          <w:rFonts w:ascii="Open Sans" w:cs="Open Sans" w:eastAsia="Open Sans" w:hAnsi="Open Sans"/>
          <w:color w:val="59595B"/>
          <w:sz w:val="22"/>
          <w:szCs w:val="22"/>
        </w:rPr>
        <w:t xml:space="preserve">8.01. Upon delivery of any discrete deliverable, Technijian shall notify Client in writing that the deliverable is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Client shall review and provide written acceptance or a description of deficiencies within five (5) business days. Technijian’s delivery notification shall include: “If you do not respond within five (5) business days, the deliverable will be deemed accepted per SOW Section 8.03.”</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If Client does not respond within the review period, the deliverable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If deficiencies are identified, Technijian shall correct them and resubmit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8.05. For advisory time billed on a T&amp;M basis, acceptance is evidenced by Client’s payment of the monthly invoice without written objection within five (5) business days of receipt.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color w:val="59595B"/>
          <w:sz w:val="22"/>
          <w:szCs w:val="22"/>
        </w:rPr>
        <w:t xml:space="preserve">9.01. If a Master Service Agreement is in effect between the Parties, the terms of the MSA shall govern this SOW. In the event of a conflict between this SOW and the MSA, the MSA shall prevail unless this SOW expressly states otherwise.</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MSA Required for Live Systems Work. An executed Master Service Agreement is required before Technijian commences any work under this SOW that involves: (a) access to or modification of Client’s production systems, networks, or infrastructure; (b) processing or transmission of Client Data including personal information under the CCPA; (c) handling of PHI, PCI, PII, or other regulated data; (d) administrative or root access to Client’s cloud tenants, identity providers, DNS, or domain registrars; or (e) any work that creates ongoing operational dependency between Technijian and Client.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9.03. Standalone SOW Fallback. If no MSA is in effect and the work falls outside Section 9.02(a)–(e) (advisory, strategy, and consultation not touching live systems), the following minimum terms apply: (a) neither Party’s total aggregate liability shall exceed the total fees paid in the prior twelve (12) months, except liability for breach of confidentiality or willful misconduct is capped at three (3) times that amount; (b) neither Party shall be liable for indirect, incidental, special, consequential, or punitive damages; (c) each Party shall hold the other’s confidential information in confidence; (d) disputes shall be resolved by binding arbitration under AAA Commercial Rules in Orange County, California; and (e) this SOW shall be governed by California law.</w:t>
      </w:r>
    </w:p>
    <w:p>
      <w:pPr>
        <w:pBdr>
          <w:bottom w:val="single" w:color="006DB6" w:sz="3"/>
        </w:pBdr>
        <w:spacing w:after="200" w:before="200"/>
      </w:pPr>
    </w:p>
    <w:p>
      <w:r>
        <w:br w:type="page"/>
      </w: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pPr>
        <w:spacing w:after="0" w:before="120"/>
      </w:pPr>
      <w:r>
        <w:rPr>
          <w:rFonts w:ascii="Open Sans" w:cs="Open Sans" w:eastAsia="Open Sans" w:hAnsi="Open Sans"/>
          <w:b/>
          <w:bCs/>
          <w:color w:val="1A1A2E"/>
          <w:sz w:val="22"/>
          <w:szCs w:val="22"/>
        </w:rPr>
        <w:t xml:space="preserve">By:  </w:t>
      </w:r>
      <w:r>
        <w:rPr>
          <w:rFonts w:ascii="Open Sans" w:cs="Open Sans" w:eastAsia="Open Sans" w:hAnsi="Open Sans"/>
          <w:color w:val="59595B"/>
          <w:sz w:val="22"/>
          <w:szCs w:val="22"/>
        </w:rPr>
        <w:t xml:space="preserve">_______________________________</w:t>
      </w:r>
    </w:p>
    <w:p>
      <w:r>
        <w:rPr>
          <w:rFonts w:ascii="Open Sans" w:cs="Open Sans" w:eastAsia="Open Sans" w:hAnsi="Open Sans"/>
          <w:b/>
          <w:bCs/>
          <w:color w:val="1A1A2E"/>
          <w:sz w:val="22"/>
          <w:szCs w:val="22"/>
        </w:rPr>
        <w:t xml:space="preserve">Name: </w:t>
      </w:r>
      <w:r>
        <w:rPr>
          <w:rFonts w:ascii="Open Sans" w:cs="Open Sans" w:eastAsia="Open Sans" w:hAnsi="Open Sans"/>
          <w:color w:val="59595B"/>
          <w:sz w:val="22"/>
          <w:szCs w:val="22"/>
        </w:rPr>
        <w:t xml:space="preserve">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Title: </w:t>
      </w:r>
      <w:r>
        <w:rPr>
          <w:rFonts w:ascii="Open Sans" w:cs="Open Sans" w:eastAsia="Open Sans" w:hAnsi="Open Sans"/>
          <w:color w:val="59595B"/>
          <w:sz w:val="22"/>
          <w:szCs w:val="22"/>
        </w:rPr>
        <w:t xml:space="preserve">Chief Executive Officer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Date: </w:t>
      </w:r>
      <w:r>
        <w:rPr>
          <w:rFonts w:ascii="Open Sans" w:cs="Open Sans" w:eastAsia="Open Sans" w:hAnsi="Open Sans"/>
          <w:color w:val="59595B"/>
          <w:sz w:val="22"/>
          <w:szCs w:val="22"/>
        </w:rPr>
        <w:t xml:space="preserve">May 15, 2026</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PET CARE PLUS</w:t>
      </w:r>
    </w:p>
    <w:p>
      <w:pPr>
        <w:spacing w:after="120"/>
      </w:pPr>
      <w:r>
        <w:rPr>
          <w:rFonts w:ascii="Open Sans" w:cs="Open Sans" w:eastAsia="Open Sans" w:hAnsi="Open Sans"/>
          <w:color w:val="59595B"/>
          <w:sz w:val="22"/>
          <w:szCs w:val="22"/>
        </w:rPr>
        <w:t xml:space="preserve"/>
      </w:r>
    </w:p>
    <w:p>
      <w:pPr>
        <w:spacing w:after="400" w:before="120"/>
      </w:pPr>
      <w:r>
        <w:rPr>
          <w:rFonts w:ascii="Open Sans" w:cs="Open Sans" w:eastAsia="Open Sans" w:hAnsi="Open Sans"/>
          <w:b/>
          <w:bCs/>
          <w:color w:val="1A1A2E"/>
          <w:sz w:val="22"/>
          <w:szCs w:val="22"/>
        </w:rPr>
        <w:t xml:space="preserve">By:  </w:t>
      </w:r>
      <w:r>
        <w:rPr>
          <w:rFonts w:ascii="Open Sans" w:cs="Open Sans" w:eastAsia="Open Sans" w:hAnsi="Open Sans"/>
          <w:color w:val="FFFFFF"/>
          <w:sz w:val="20"/>
          <w:szCs w:val="20"/>
        </w:rPr>
        <w:t xml:space="preserve">${signfield:1:y:Client_Sig:____________________}</w:t>
      </w:r>
    </w:p>
    <w:p>
      <w:r>
        <w:rPr>
          <w:rFonts w:ascii="Open Sans" w:cs="Open Sans" w:eastAsia="Open Sans" w:hAnsi="Open Sans"/>
          <w:b/>
          <w:bCs/>
          <w:color w:val="1A1A2E"/>
          <w:sz w:val="22"/>
          <w:szCs w:val="22"/>
        </w:rPr>
        <w:t xml:space="preserve">Name: </w:t>
      </w:r>
      <w:r>
        <w:rPr>
          <w:rFonts w:ascii="Open Sans" w:cs="Open Sans" w:eastAsia="Open Sans" w:hAnsi="Open Sans"/>
          <w:color w:val="59595B"/>
          <w:sz w:val="22"/>
          <w:szCs w:val="22"/>
        </w:rPr>
        <w:t xml:space="preserve">Chris Stavrianos</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b/>
          <w:bCs/>
          <w:color w:val="1A1A2E"/>
          <w:sz w:val="22"/>
          <w:szCs w:val="22"/>
        </w:rPr>
        <w:t xml:space="preserve">Title:  </w:t>
      </w:r>
      <w:r>
        <w:rPr>
          <w:rFonts w:ascii="Open Sans" w:cs="Open Sans" w:eastAsia="Open Sans" w:hAnsi="Open Sans"/>
          <w:color w:val="FFFFFF"/>
          <w:sz w:val="20"/>
          <w:szCs w:val="20"/>
        </w:rPr>
        <w:t xml:space="preserve">${textfield:1:y:Client_Title:220:18}</w:t>
      </w:r>
    </w:p>
    <w:p>
      <w:r>
        <w:rPr>
          <w:rFonts w:ascii="Open Sans" w:cs="Open Sans" w:eastAsia="Open Sans" w:hAnsi="Open Sans"/>
          <w:b/>
          <w:bCs/>
          <w:color w:val="1A1A2E"/>
          <w:sz w:val="22"/>
          <w:szCs w:val="22"/>
        </w:rPr>
        <w:t xml:space="preserve">Date:  </w:t>
      </w:r>
      <w:r>
        <w:rPr>
          <w:rFonts w:ascii="Open Sans" w:cs="Open Sans" w:eastAsia="Open Sans" w:hAnsi="Open Sans"/>
          <w:color w:val="FFFFFF"/>
          <w:sz w:val="20"/>
          <w:szCs w:val="20"/>
        </w:rPr>
        <w:t xml:space="preserve">${datefield:1:y:Client_Date:120:18}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1644858f9743ef996d96751599058280f6c15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2026-05-15T22:07:11.981Z</dcterms:created>
  <dcterms:modified xsi:type="dcterms:W3CDTF">2026-05-15T22:07:11.982Z</dcterms:modified>
</cp:coreProperties>
</file>

<file path=docProps/custom.xml><?xml version="1.0" encoding="utf-8"?>
<Properties xmlns="http://schemas.openxmlformats.org/officeDocument/2006/custom-properties" xmlns:vt="http://schemas.openxmlformats.org/officeDocument/2006/docPropsVTypes"/>
</file>