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Open Sans" w:cs="Open Sans" w:eastAsia="Open Sans" w:hAnsi="Open Sans"/>
          <w:color w:val="59595B"/>
          <w:sz w:val="22"/>
          <w:szCs w:val="22"/>
        </w:rPr>
        <w:t xml:space="preserve"/>
      </w:r>
    </w:p>
    <w:p>
      <w:pPr>
        <w:spacing w:after="200"/>
        <w:jc w:val="center"/>
      </w:pPr>
      <w:r>
        <w:drawing>
          <wp:inline distT="0" distB="0" distL="0" distR="0">
            <wp:extent cx="2381250" cy="600075"/>
            <wp:effectExtent t="0" r="0" b="0" l="0"/>
            <wp:docPr id="1" name="logo" descr="Technijian Inc."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600075"/>
                    </a:xfrm>
                    <a:prstGeom prst="rect">
                      <a:avLst/>
                    </a:prstGeom>
                  </pic:spPr>
                </pic:pic>
              </a:graphicData>
            </a:graphic>
          </wp:inline>
        </w:drawing>
      </w:r>
    </w:p>
    <w:p>
      <w:pPr>
        <w:spacing w:after="600"/>
      </w:pPr>
      <w:r>
        <w:rPr>
          <w:rFonts w:ascii="Open Sans" w:cs="Open Sans" w:eastAsia="Open Sans" w:hAnsi="Open Sans"/>
          <w:color w:val="59595B"/>
          <w:sz w:val="22"/>
          <w:szCs w:val="22"/>
        </w:rPr>
        <w:t xml:space="preserve"/>
      </w:r>
    </w:p>
    <w:p>
      <w:pPr>
        <w:pBdr>
          <w:bottom w:val="single" w:color="F67D4B" w:sz="2"/>
        </w:pBdr>
        <w:spacing w:after="100" w:before="100"/>
      </w:pPr>
    </w:p>
    <w:p>
      <w:pPr>
        <w:spacing w:after="200" w:before="400"/>
        <w:jc w:val="center"/>
      </w:pPr>
      <w:r>
        <w:rPr>
          <w:rFonts w:ascii="Open Sans" w:cs="Open Sans" w:eastAsia="Open Sans" w:hAnsi="Open Sans"/>
          <w:b/>
          <w:bCs/>
          <w:color w:val="1A1A2E"/>
          <w:sz w:val="48"/>
          <w:szCs w:val="48"/>
        </w:rPr>
        <w:t xml:space="preserve">Statement of Work</w:t>
      </w:r>
    </w:p>
    <w:p>
      <w:pPr>
        <w:spacing w:after="400"/>
        <w:jc w:val="center"/>
      </w:pPr>
      <w:r>
        <w:rPr>
          <w:rFonts w:ascii="Open Sans" w:cs="Open Sans" w:eastAsia="Open Sans" w:hAnsi="Open Sans"/>
          <w:color w:val="59595B"/>
          <w:sz w:val="24"/>
          <w:szCs w:val="24"/>
        </w:rPr>
        <w:t xml:space="preserve">VDI-to-Managed-Device Migration — American Fundstars Financial Group LLC</w:t>
      </w:r>
    </w:p>
    <w:p>
      <w:pPr>
        <w:pBdr>
          <w:bottom w:val="single" w:color="F67D4B" w:sz="2"/>
        </w:pBdr>
        <w:spacing w:after="100" w:before="100"/>
      </w:pPr>
    </w:p>
    <w:p>
      <w:pPr>
        <w:spacing w:after="600"/>
      </w:pPr>
      <w:r>
        <w:rPr>
          <w:rFonts w:ascii="Open Sans" w:cs="Open Sans" w:eastAsia="Open Sans" w:hAnsi="Open Sans"/>
          <w:color w:val="59595B"/>
          <w:sz w:val="22"/>
          <w:szCs w:val="22"/>
        </w:rPr>
        <w:t xml:space="preserve"/>
      </w:r>
    </w:p>
    <w:p>
      <w:pPr>
        <w:spacing w:after="200"/>
        <w:jc w:val="center"/>
      </w:pPr>
      <w:r>
        <w:rPr>
          <w:rFonts w:ascii="Open Sans" w:cs="Open Sans" w:eastAsia="Open Sans" w:hAnsi="Open Sans"/>
          <w:color w:val="59595B"/>
          <w:sz w:val="22"/>
          <w:szCs w:val="22"/>
        </w:rPr>
        <w:t xml:space="preserve">Rev 1 – May 1, 2026</w:t>
      </w:r>
    </w:p>
    <w:p>
      <w:pPr>
        <w:spacing w:after="400"/>
      </w:pPr>
      <w:r>
        <w:rPr>
          <w:rFonts w:ascii="Open Sans" w:cs="Open Sans" w:eastAsia="Open Sans" w:hAnsi="Open Sans"/>
          <w:color w:val="59595B"/>
          <w:sz w:val="22"/>
          <w:szCs w:val="22"/>
        </w:rPr>
        <w:t xml:space="preserve"/>
      </w:r>
    </w:p>
    <w:p>
      <w:pPr>
        <w:jc w:val="center"/>
      </w:pPr>
      <w:r>
        <w:rPr>
          <w:rFonts w:ascii="Open Sans" w:cs="Open Sans" w:eastAsia="Open Sans" w:hAnsi="Open Sans"/>
          <w:b/>
          <w:bCs/>
          <w:color w:val="1A1A2E"/>
          <w:sz w:val="22"/>
          <w:szCs w:val="22"/>
        </w:rPr>
        <w:t xml:space="preserve">Technijian, Inc.</w:t>
      </w:r>
    </w:p>
    <w:p>
      <w:pPr>
        <w:jc w:val="center"/>
      </w:pPr>
      <w:r>
        <w:rPr>
          <w:rFonts w:ascii="Open Sans" w:cs="Open Sans" w:eastAsia="Open Sans" w:hAnsi="Open Sans"/>
          <w:color w:val="59595B"/>
          <w:sz w:val="20"/>
          <w:szCs w:val="20"/>
        </w:rPr>
        <w:t xml:space="preserve">18 Technology Dr., Ste 141  |  Irvine, CA 92618  |  949.379.8499</w:t>
      </w:r>
    </w:p>
    <w:p>
      <w:r>
        <w:br w:type="page"/>
      </w:r>
    </w:p>
    <w:p>
      <w:pPr>
        <w:sectPr>
          <w:pgSz w:w="12240" w:h="15840" w:orient="portrait"/>
          <w:pgMar w:top="1440" w:right="1440" w:bottom="1440" w:left="1440" w:header="708" w:footer="708" w:gutter="0"/>
          <w:pgNumType/>
          <w:docGrid w:linePitch="360"/>
        </w:sectPr>
      </w:pPr>
    </w:p>
    <w:p>
      <w:pPr>
        <w:pStyle w:val="Heading1"/>
      </w:pPr>
      <w:r>
        <w:rPr>
          <w:rFonts w:ascii="Open Sans" w:hAnsi="Open Sans" w:cs="Open Sans" w:eastAsia="Open Sans"/>
          <w:color w:val="59595B"/>
          <w:sz w:val="22"/>
          <w:szCs w:val="22"/>
        </w:rPr>
        <w:t xml:space="preserve">STATEMENT OF WORK</w:t>
      </w:r>
    </w:p>
    <w:p>
      <w:r>
        <w:rPr>
          <w:rFonts w:ascii="Open Sans" w:hAnsi="Open Sans" w:cs="Open Sans" w:eastAsia="Open Sans"/>
          <w:b/>
          <w:bCs/>
          <w:color w:val="1A1A2E"/>
          <w:sz w:val="22"/>
          <w:szCs w:val="22"/>
        </w:rPr>
        <w:t xml:space="preserve">SOW Number: </w:t>
      </w:r>
      <w:r>
        <w:rPr>
          <w:rFonts w:ascii="Open Sans" w:hAnsi="Open Sans" w:cs="Open Sans" w:eastAsia="Open Sans"/>
          <w:color w:val="59595B"/>
          <w:sz w:val="22"/>
          <w:szCs w:val="22"/>
        </w:rPr>
        <w:t xml:space="preserve">SOW-AFFG-004 Rev 1</w:t>
      </w:r>
    </w:p>
    <w:p>
      <w:r>
        <w:rPr>
          <w:rFonts w:ascii="Open Sans" w:hAnsi="Open Sans" w:cs="Open Sans" w:eastAsia="Open Sans"/>
          <w:b/>
          <w:bCs/>
          <w:color w:val="1A1A2E"/>
          <w:sz w:val="22"/>
          <w:szCs w:val="22"/>
        </w:rPr>
        <w:t xml:space="preserve">Title: </w:t>
      </w:r>
      <w:r>
        <w:rPr>
          <w:rFonts w:ascii="Open Sans" w:hAnsi="Open Sans" w:cs="Open Sans" w:eastAsia="Open Sans"/>
          <w:color w:val="59595B"/>
          <w:sz w:val="22"/>
          <w:szCs w:val="22"/>
        </w:rPr>
        <w:t xml:space="preserve">Fleet Right-Sizing and Compliance Configuration</w:t>
      </w:r>
    </w:p>
    <w:p>
      <w:r>
        <w:rPr>
          <w:rFonts w:ascii="Open Sans" w:hAnsi="Open Sans" w:cs="Open Sans" w:eastAsia="Open Sans"/>
          <w:b/>
          <w:bCs/>
          <w:color w:val="1A1A2E"/>
          <w:sz w:val="22"/>
          <w:szCs w:val="22"/>
        </w:rPr>
        <w:t xml:space="preserve">Effective Date: </w:t>
      </w:r>
      <w:r>
        <w:rPr>
          <w:rFonts w:ascii="Open Sans" w:hAnsi="Open Sans" w:cs="Open Sans" w:eastAsia="Open Sans"/>
          <w:color w:val="59595B"/>
          <w:sz w:val="22"/>
          <w:szCs w:val="22"/>
        </w:rPr>
        <w:t xml:space="preserve">May 1, 2026</w:t>
      </w:r>
    </w:p>
    <w:p>
      <w:r>
        <w:rPr>
          <w:rFonts w:ascii="Open Sans" w:hAnsi="Open Sans" w:cs="Open Sans" w:eastAsia="Open Sans"/>
          <w:b/>
          <w:bCs/>
          <w:color w:val="1A1A2E"/>
          <w:sz w:val="22"/>
          <w:szCs w:val="22"/>
        </w:rPr>
        <w:t xml:space="preserve">Revision: </w:t>
      </w:r>
      <w:r>
        <w:rPr>
          <w:rFonts w:ascii="Open Sans" w:hAnsi="Open Sans" w:cs="Open Sans" w:eastAsia="Open Sans"/>
          <w:color w:val="59595B"/>
          <w:sz w:val="22"/>
          <w:szCs w:val="22"/>
        </w:rPr>
        <w:t xml:space="preserve">Rev 1 – replaces SOW-AFFG-004 (April 2026)</w:t>
      </w:r>
    </w:p>
    <w:p>
      <w:r>
        <w:rPr>
          <w:rFonts w:ascii="Open Sans" w:hAnsi="Open Sans" w:cs="Open Sans" w:eastAsia="Open Sans"/>
          <w:b/>
          <w:bCs/>
          <w:color w:val="1A1A2E"/>
          <w:sz w:val="22"/>
          <w:szCs w:val="22"/>
        </w:rPr>
        <w:t xml:space="preserve">Parent Agreement: </w:t>
      </w:r>
      <w:r>
        <w:rPr>
          <w:rFonts w:ascii="Open Sans" w:hAnsi="Open Sans" w:cs="Open Sans" w:eastAsia="Open Sans"/>
          <w:color w:val="59595B"/>
          <w:sz w:val="22"/>
          <w:szCs w:val="22"/>
        </w:rPr>
        <w:t xml:space="preserve">MSA-AFFG-2026</w:t>
      </w:r>
    </w:p>
    <w:p>
      <w:r>
        <w:rPr>
          <w:rFonts w:ascii="Open Sans" w:hAnsi="Open Sans" w:cs="Open Sans" w:eastAsia="Open Sans"/>
          <w:b/>
          <w:bCs/>
          <w:color w:val="1A1A2E"/>
          <w:sz w:val="22"/>
          <w:szCs w:val="22"/>
        </w:rPr>
        <w:t xml:space="preserve">Primary Contact: </w:t>
      </w:r>
      <w:r>
        <w:rPr>
          <w:rFonts w:ascii="Open Sans" w:hAnsi="Open Sans" w:cs="Open Sans" w:eastAsia="Open Sans"/>
          <w:color w:val="59595B"/>
          <w:sz w:val="22"/>
          <w:szCs w:val="22"/>
        </w:rPr>
        <w:t xml:space="preserve">Iris Liu  |  iris.liu@americanfundstars.com  |  949-439-2392</w:t>
      </w:r>
    </w:p>
    <w:p>
      <w:r>
        <w:rPr>
          <w:rFonts w:ascii="Open Sans" w:hAnsi="Open Sans" w:cs="Open Sans" w:eastAsia="Open Sans"/>
          <w:b/>
          <w:bCs/>
          <w:color w:val="1A1A2E"/>
          <w:sz w:val="22"/>
          <w:szCs w:val="22"/>
        </w:rPr>
        <w:t xml:space="preserve">Regulatory Scope: </w:t>
      </w:r>
      <w:r>
        <w:rPr>
          <w:rFonts w:ascii="Open Sans" w:hAnsi="Open Sans" w:cs="Open Sans" w:eastAsia="Open Sans"/>
          <w:color w:val="59595B"/>
          <w:sz w:val="22"/>
          <w:szCs w:val="22"/>
        </w:rPr>
        <w:t xml:space="preserve">SEC Reg S-P (2024), FINRA 3110, FINRA 4370, SEC 17a-4, NIST SP 800-53 Rev 5</w:t>
      </w:r>
    </w:p>
    <w:p/>
    <w:p>
      <w:pPr>
        <w:spacing w:before="0" w:after="120"/>
      </w:pPr>
      <w:r>
        <w:rPr>
          <w:rFonts w:ascii="Open Sans" w:hAnsi="Open Sans" w:cs="Open Sans" w:eastAsia="Open Sans"/>
          <w:color w:val="59595B"/>
          <w:sz w:val="22"/>
          <w:szCs w:val="22"/>
        </w:rPr>
        <w:t xml:space="preserve">This Statement of Work (“SOW”) is entered into by and between Technijian, Inc. (“Technijian”), 18 Technology Drive, Suite 141, Irvine, California 92618 and American Fundstars Financial Group LLC (“Client” or “AFFG”), 1 Park Plaza, Suite 210, Irvine, California 92618. Primary Contact: Iris Liu.</w:t>
      </w:r>
    </w:p>
    <w:p>
      <w:pPr>
        <w:spacing w:before="0" w:after="120"/>
      </w:pPr>
      <w:r>
        <w:rPr>
          <w:rFonts w:ascii="Open Sans" w:hAnsi="Open Sans" w:cs="Open Sans" w:eastAsia="Open Sans"/>
          <w:color w:val="59595B"/>
          <w:sz w:val="22"/>
          <w:szCs w:val="22"/>
        </w:rPr>
        <w:t xml:space="preserve">Revision Notes (Rev 1): (1) BYOD MAM-only adopted for personal mobile devices — no company phones; (2) managed device fleet confirmed as 4 Mac Mini + 6 Windows laptops (10 endpoints); (3) SSO/2FA Gateway product removed — Azure Entra ID SSO (M365 E3/E5 included) used for identity and MFA; (4) CloudBrink ZTNA replaces Cisco Umbrella for DNS filtering and zero-trust remote egress; (5) custodian portal access controlled via office WAN IP whitelist + CloudBrink egress IP for traveling laptops.</w:t>
      </w:r>
    </w:p>
    <w:p>
      <w:pPr>
        <w:pStyle w:val="Heading1"/>
      </w:pPr>
      <w:r>
        <w:rPr>
          <w:rFonts w:ascii="Open Sans" w:hAnsi="Open Sans" w:cs="Open Sans" w:eastAsia="Open Sans"/>
          <w:color w:val="59595B"/>
          <w:sz w:val="22"/>
          <w:szCs w:val="22"/>
        </w:rPr>
        <w:t xml:space="preserve">1. PROJECT OVERVIEW</w:t>
      </w:r>
    </w:p>
    <w:p>
      <w:pPr>
        <w:spacing w:before="0" w:after="120"/>
      </w:pPr>
      <w:r>
        <w:rPr>
          <w:rFonts w:ascii="Open Sans" w:hAnsi="Open Sans" w:cs="Open Sans" w:eastAsia="Open Sans"/>
          <w:color w:val="59595B"/>
          <w:sz w:val="22"/>
          <w:szCs w:val="22"/>
        </w:rPr>
        <w:t xml:space="preserve">AFFG currently operates 16 physical desktops under the Technijian standard managed services program. This SOW covers two concurrent workstreams: (1) right-sizing the managed device fleet from 16 desktops to 10 company-owned endpoints (4 Mac Mini + 6 Windows laptops), and (2) deploying the compliance controls required under SEC Regulation S-P (2024 amendments) and FINRA Rule 3110 that are not present in the current environment. Compliance controls include Microsoft Intune enrollment with Conditional Access, CloudBrink Zero Trust Network Access (ZTNA) replacing Cisco Umbrella, MyAudit UAM+DLP on all 10 managed endpoints, and Intune MAM-only for employee personal mobile devices (BYOD).</w:t>
      </w:r>
    </w:p>
    <w:p>
      <w:pPr>
        <w:pStyle w:val="Heading2"/>
      </w:pPr>
      <w:r>
        <w:rPr>
          <w:rFonts w:ascii="Open Sans" w:hAnsi="Open Sans" w:cs="Open Sans" w:eastAsia="Open Sans"/>
          <w:color w:val="59595B"/>
          <w:sz w:val="22"/>
          <w:szCs w:val="22"/>
        </w:rPr>
        <w:t xml:space="preserve">1.1 Objectives</w:t>
      </w:r>
    </w:p>
    <w:p>
      <w:pPr>
        <w:pStyle w:val="ListParagraph"/>
        <w:numPr>
          <w:ilvl w:val="0"/>
          <w:numId w:val="2"/>
        </w:numPr>
        <w:spacing w:before="40" w:after="40"/>
      </w:pPr>
      <w:r>
        <w:rPr>
          <w:rFonts w:ascii="Open Sans" w:hAnsi="Open Sans" w:cs="Open Sans" w:eastAsia="Open Sans"/>
          <w:color w:val="59595B"/>
          <w:sz w:val="22"/>
          <w:szCs w:val="22"/>
        </w:rPr>
        <w:t xml:space="preserve">Enroll 4 Mac Mini (Apple Business Manager) and 6 Windows laptops (Autopilot) in Microsoft Intune with full endpoint security stack</w:t>
      </w:r>
    </w:p>
    <w:p>
      <w:pPr>
        <w:pStyle w:val="ListParagraph"/>
        <w:numPr>
          <w:ilvl w:val="0"/>
          <w:numId w:val="2"/>
        </w:numPr>
        <w:spacing w:before="40" w:after="40"/>
      </w:pPr>
      <w:r>
        <w:rPr>
          <w:rFonts w:ascii="Open Sans" w:hAnsi="Open Sans" w:cs="Open Sans" w:eastAsia="Open Sans"/>
          <w:color w:val="59595B"/>
          <w:sz w:val="22"/>
          <w:szCs w:val="22"/>
        </w:rPr>
        <w:t xml:space="preserve">Deploy CloudBrink ZTNA on all 10 endpoints to replace Cisco Umbrella; whitelist CloudBrink egress IP at Schwab Advisor Services and IBKR</w:t>
      </w:r>
    </w:p>
    <w:p>
      <w:pPr>
        <w:pStyle w:val="ListParagraph"/>
        <w:numPr>
          <w:ilvl w:val="0"/>
          <w:numId w:val="2"/>
        </w:numPr>
        <w:spacing w:before="40" w:after="40"/>
      </w:pPr>
      <w:r>
        <w:rPr>
          <w:rFonts w:ascii="Open Sans" w:hAnsi="Open Sans" w:cs="Open Sans" w:eastAsia="Open Sans"/>
          <w:color w:val="59595B"/>
          <w:sz w:val="22"/>
          <w:szCs w:val="22"/>
        </w:rPr>
        <w:t xml:space="preserve">Configure Entra ID Conditional Access: named location policy (office WAN IP) + Intune-compliant device requirement for M365; block legacy auth</w:t>
      </w:r>
    </w:p>
    <w:p>
      <w:pPr>
        <w:pStyle w:val="ListParagraph"/>
        <w:numPr>
          <w:ilvl w:val="0"/>
          <w:numId w:val="2"/>
        </w:numPr>
        <w:spacing w:before="40" w:after="40"/>
      </w:pPr>
      <w:r>
        <w:rPr>
          <w:rFonts w:ascii="Open Sans" w:hAnsi="Open Sans" w:cs="Open Sans" w:eastAsia="Open Sans"/>
          <w:color w:val="59595B"/>
          <w:sz w:val="22"/>
          <w:szCs w:val="22"/>
        </w:rPr>
        <w:t xml:space="preserve">Deploy MyAudit UAM+DLP (AMDLP1Y) on all 10 managed endpoints — block USB, clipboard, print, and local download of financial data</w:t>
      </w:r>
    </w:p>
    <w:p>
      <w:pPr>
        <w:pStyle w:val="ListParagraph"/>
        <w:numPr>
          <w:ilvl w:val="0"/>
          <w:numId w:val="2"/>
        </w:numPr>
        <w:spacing w:before="40" w:after="40"/>
      </w:pPr>
      <w:r>
        <w:rPr>
          <w:rFonts w:ascii="Open Sans" w:hAnsi="Open Sans" w:cs="Open Sans" w:eastAsia="Open Sans"/>
          <w:color w:val="59595B"/>
          <w:sz w:val="22"/>
          <w:szCs w:val="22"/>
        </w:rPr>
        <w:t xml:space="preserve">Configure BYOD Intune MAM (Outlook App) for employee personal mobile devices — no MDM enrollment of personal devices</w:t>
      </w:r>
    </w:p>
    <w:p>
      <w:pPr>
        <w:pStyle w:val="ListParagraph"/>
        <w:numPr>
          <w:ilvl w:val="0"/>
          <w:numId w:val="2"/>
        </w:numPr>
        <w:spacing w:before="40" w:after="40"/>
      </w:pPr>
      <w:r>
        <w:rPr>
          <w:rFonts w:ascii="Open Sans" w:hAnsi="Open Sans" w:cs="Open Sans" w:eastAsia="Open Sans"/>
          <w:color w:val="59595B"/>
          <w:sz w:val="22"/>
          <w:szCs w:val="22"/>
        </w:rPr>
        <w:t xml:space="preserve">Offboard 16 legacy desktops from Technijian managed services and amend Schedule A accordingly</w:t>
      </w:r>
    </w:p>
    <w:p>
      <w:pPr>
        <w:pStyle w:val="ListParagraph"/>
        <w:numPr>
          <w:ilvl w:val="0"/>
          <w:numId w:val="2"/>
        </w:numPr>
        <w:spacing w:before="40" w:after="40"/>
      </w:pPr>
      <w:r>
        <w:rPr>
          <w:rFonts w:ascii="Open Sans" w:hAnsi="Open Sans" w:cs="Open Sans" w:eastAsia="Open Sans"/>
          <w:color w:val="59595B"/>
          <w:sz w:val="22"/>
          <w:szCs w:val="22"/>
        </w:rPr>
        <w:t xml:space="preserve">Conduct user training and deliver post-implementation compliance documentation</w:t>
      </w:r>
    </w:p>
    <w:p>
      <w:pPr>
        <w:pStyle w:val="Heading2"/>
      </w:pPr>
      <w:r>
        <w:rPr>
          <w:rFonts w:ascii="Open Sans" w:hAnsi="Open Sans" w:cs="Open Sans" w:eastAsia="Open Sans"/>
          <w:color w:val="59595B"/>
          <w:sz w:val="22"/>
          <w:szCs w:val="22"/>
        </w:rPr>
        <w:t xml:space="preserve">1.2 Out of Scope</w:t>
      </w:r>
    </w:p>
    <w:p>
      <w:pPr>
        <w:pStyle w:val="ListParagraph"/>
        <w:numPr>
          <w:ilvl w:val="0"/>
          <w:numId w:val="2"/>
        </w:numPr>
        <w:spacing w:before="40" w:after="40"/>
      </w:pPr>
      <w:r>
        <w:rPr>
          <w:rFonts w:ascii="Open Sans" w:hAnsi="Open Sans" w:cs="Open Sans" w:eastAsia="Open Sans"/>
          <w:color w:val="59595B"/>
          <w:sz w:val="22"/>
          <w:szCs w:val="22"/>
        </w:rPr>
        <w:t xml:space="preserve">CloudBrink per-user subscription licensing (procured directly by AFFG)</w:t>
      </w:r>
    </w:p>
    <w:p>
      <w:pPr>
        <w:pStyle w:val="ListParagraph"/>
        <w:numPr>
          <w:ilvl w:val="0"/>
          <w:numId w:val="2"/>
        </w:numPr>
        <w:spacing w:before="40" w:after="40"/>
      </w:pPr>
      <w:r>
        <w:rPr>
          <w:rFonts w:ascii="Open Sans" w:hAnsi="Open Sans" w:cs="Open Sans" w:eastAsia="Open Sans"/>
          <w:color w:val="59595B"/>
          <w:sz w:val="22"/>
          <w:szCs w:val="22"/>
        </w:rPr>
        <w:t xml:space="preserve">Hardware procurement (AFFG provides Mac Mini desktops and Windows laptops)</w:t>
      </w:r>
    </w:p>
    <w:p>
      <w:pPr>
        <w:pStyle w:val="ListParagraph"/>
        <w:numPr>
          <w:ilvl w:val="0"/>
          <w:numId w:val="2"/>
        </w:numPr>
        <w:spacing w:before="40" w:after="40"/>
      </w:pPr>
      <w:r>
        <w:rPr>
          <w:rFonts w:ascii="Open Sans" w:hAnsi="Open Sans" w:cs="Open Sans" w:eastAsia="Open Sans"/>
          <w:color w:val="59595B"/>
          <w:sz w:val="22"/>
          <w:szCs w:val="22"/>
        </w:rPr>
        <w:t xml:space="preserve">Microsoft 365 license costs (AFFG procures directly — E3 or E5 required)</w:t>
      </w:r>
    </w:p>
    <w:p>
      <w:pPr>
        <w:pStyle w:val="ListParagraph"/>
        <w:numPr>
          <w:ilvl w:val="0"/>
          <w:numId w:val="2"/>
        </w:numPr>
        <w:spacing w:before="40" w:after="40"/>
      </w:pPr>
      <w:r>
        <w:rPr>
          <w:rFonts w:ascii="Open Sans" w:hAnsi="Open Sans" w:cs="Open Sans" w:eastAsia="Open Sans"/>
          <w:color w:val="59595B"/>
          <w:sz w:val="22"/>
          <w:szCs w:val="22"/>
        </w:rPr>
        <w:t xml:space="preserve">Technijian My Archive (AFFG operates own email-archiving platform)</w:t>
      </w:r>
    </w:p>
    <w:p>
      <w:pPr>
        <w:pStyle w:val="ListParagraph"/>
        <w:numPr>
          <w:ilvl w:val="0"/>
          <w:numId w:val="2"/>
        </w:numPr>
        <w:spacing w:before="40" w:after="40"/>
      </w:pPr>
      <w:r>
        <w:rPr>
          <w:rFonts w:ascii="Open Sans" w:hAnsi="Open Sans" w:cs="Open Sans" w:eastAsia="Open Sans"/>
          <w:color w:val="59595B"/>
          <w:sz w:val="22"/>
          <w:szCs w:val="22"/>
        </w:rPr>
        <w:t xml:space="preserve">Company-owned mobile phones and MDM enrollment thereof (BYOD model adopted)</w:t>
      </w:r>
    </w:p>
    <w:p>
      <w:pPr>
        <w:pStyle w:val="ListParagraph"/>
        <w:numPr>
          <w:ilvl w:val="0"/>
          <w:numId w:val="2"/>
        </w:numPr>
        <w:spacing w:before="40" w:after="40"/>
      </w:pPr>
      <w:r>
        <w:rPr>
          <w:rFonts w:ascii="Open Sans" w:hAnsi="Open Sans" w:cs="Open Sans" w:eastAsia="Open Sans"/>
          <w:color w:val="59595B"/>
          <w:sz w:val="22"/>
          <w:szCs w:val="22"/>
        </w:rPr>
        <w:t xml:space="preserve">Physical removal or disposal of retired desktop hardware (AFFG responsibility)</w:t>
      </w:r>
    </w:p>
    <w:p>
      <w:pPr>
        <w:pStyle w:val="Heading1"/>
      </w:pPr>
      <w:r>
        <w:rPr>
          <w:rFonts w:ascii="Open Sans" w:hAnsi="Open Sans" w:cs="Open Sans" w:eastAsia="Open Sans"/>
          <w:color w:val="59595B"/>
          <w:sz w:val="22"/>
          <w:szCs w:val="22"/>
        </w:rPr>
        <w:t xml:space="preserve">2. IMPLEMENTATION SCOPE</w:t>
      </w:r>
    </w:p>
    <w:p>
      <w:pPr>
        <w:pStyle w:val="Heading2"/>
      </w:pPr>
      <w:r>
        <w:rPr>
          <w:rFonts w:ascii="Open Sans" w:hAnsi="Open Sans" w:cs="Open Sans" w:eastAsia="Open Sans"/>
          <w:color w:val="59595B"/>
          <w:sz w:val="22"/>
          <w:szCs w:val="22"/>
        </w:rPr>
        <w:t xml:space="preserve">Phase 1: Endpoint Enrollment &amp; Foundation (Weeks 1–4)</w:t>
      </w:r>
    </w:p>
    <w:p>
      <w:pPr>
        <w:spacing w:before="0" w:after="120"/>
      </w:pPr>
      <w:r>
        <w:rPr>
          <w:rFonts w:ascii="Open Sans" w:hAnsi="Open Sans" w:cs="Open Sans" w:eastAsia="Open Sans"/>
          <w:color w:val="59595B"/>
          <w:sz w:val="22"/>
          <w:szCs w:val="22"/>
        </w:rPr>
        <w:t xml:space="preserve">7 tickets  |  24 hours</w:t>
      </w:r>
    </w:p>
    <w:p>
      <w:pPr>
        <w:spacing w:before="0" w:after="120"/>
      </w:pPr>
      <w:r>
        <w:rPr>
          <w:rFonts w:ascii="Open Sans" w:hAnsi="Open Sans" w:cs="Open Sans" w:eastAsia="Open Sans"/>
          <w:color w:val="59595B"/>
          <w:sz w:val="22"/>
          <w:szCs w:val="22"/>
        </w:rPr>
        <w:t xml:space="preserve">Configure Microsoft Intune Autopilot (Windows) and Apple Business Manager (Mac Mini). Define device compliance policies and configuration profiles for both platforms. Enroll and image all 10 endpoints. Deploy full security stack on each endpoint: CrowdStrike Falcon EDR, Huntress MDR, Patch Management, My Remote (ScreenConnect), and CloudBrink agent. Deploy MyAudit UAM+DLP on all 10 endpoints.</w:t>
      </w:r>
    </w:p>
    <w:p>
      <w:pPr>
        <w:pStyle w:val="Heading3"/>
      </w:pPr>
      <w:r>
        <w:rPr>
          <w:rFonts w:ascii="Open Sans" w:hAnsi="Open Sans" w:cs="Open Sans" w:eastAsia="Open Sans"/>
          <w:color w:val="59595B"/>
          <w:sz w:val="22"/>
          <w:szCs w:val="22"/>
        </w:rPr>
        <w:t xml:space="preserve">Phase 1 Tickets</w:t>
      </w:r>
    </w:p>
    <w:tbl>
      <w:tblPr>
        <w:tblW w:w="8360" w:type="dxa"/>
      </w:tblPr>
      <w:tblGrid>
        <w:gridCol w:w="1600"/>
        <w:gridCol w:w="4200"/>
        <w:gridCol w:w="1600"/>
        <w:gridCol w:w="960"/>
      </w:tblGrid>
      <w:tr>
        <w:tc>
          <w:tcPr>
            <w:tcW w:w="160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Ticket</w:t>
            </w:r>
          </w:p>
        </w:tc>
        <w:tc>
          <w:tcPr>
            <w:tcW w:w="420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Title</w:t>
            </w:r>
          </w:p>
        </w:tc>
        <w:tc>
          <w:tcPr>
            <w:tcW w:w="160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Assigned To</w:t>
            </w:r>
          </w:p>
        </w:tc>
        <w:tc>
          <w:tcPr>
            <w:tcW w:w="96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Est. Hours</w:t>
            </w:r>
          </w:p>
        </w:tc>
      </w:tr>
      <w:tr>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AFFG-004-001</w:t>
            </w:r>
          </w:p>
        </w:tc>
        <w:tc>
          <w:tcPr>
            <w:tcW w:w="42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Intune Autopilot Configuration &amp; Enrollment Profiles – Windows</w:t>
            </w:r>
          </w:p>
        </w:tc>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CHD-TS1</w:t>
            </w:r>
          </w:p>
        </w:tc>
        <w:tc>
          <w:tcPr>
            <w:tcW w:w="9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3</w:t>
            </w:r>
          </w:p>
        </w:tc>
      </w:tr>
      <w:tr>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AFFG-004-002</w:t>
            </w:r>
          </w:p>
        </w:tc>
        <w:tc>
          <w:tcPr>
            <w:tcW w:w="42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Apple Business Manager (ABM) Setup &amp; MDM Configuration – Mac Mini</w:t>
            </w:r>
          </w:p>
        </w:tc>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CHD-TS1</w:t>
            </w:r>
          </w:p>
        </w:tc>
        <w:tc>
          <w:tcPr>
            <w:tcW w:w="9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3</w:t>
            </w:r>
          </w:p>
        </w:tc>
      </w:tr>
      <w:tr>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AFFG-004-003</w:t>
            </w:r>
          </w:p>
        </w:tc>
        <w:tc>
          <w:tcPr>
            <w:tcW w:w="42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Intune Device Compliance &amp; Configuration Policies (Windows + macOS)</w:t>
            </w:r>
          </w:p>
        </w:tc>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CHD-TS1</w:t>
            </w:r>
          </w:p>
        </w:tc>
        <w:tc>
          <w:tcPr>
            <w:tcW w:w="9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2</w:t>
            </w:r>
          </w:p>
        </w:tc>
      </w:tr>
      <w:tr>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AFFG-004-004</w:t>
            </w:r>
          </w:p>
        </w:tc>
        <w:tc>
          <w:tcPr>
            <w:tcW w:w="42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Windows Laptop Autopilot Enrollment &amp; Imaging – 6 Devices</w:t>
            </w:r>
          </w:p>
        </w:tc>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CHD-TS1</w:t>
            </w:r>
          </w:p>
        </w:tc>
        <w:tc>
          <w:tcPr>
            <w:tcW w:w="9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4</w:t>
            </w:r>
          </w:p>
        </w:tc>
      </w:tr>
      <w:tr>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AFFG-004-005</w:t>
            </w:r>
          </w:p>
        </w:tc>
        <w:tc>
          <w:tcPr>
            <w:tcW w:w="42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Mac Mini ABM Enrollment &amp; Imaging – 4 Devices</w:t>
            </w:r>
          </w:p>
        </w:tc>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CHD-TS1</w:t>
            </w:r>
          </w:p>
        </w:tc>
        <w:tc>
          <w:tcPr>
            <w:tcW w:w="9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4</w:t>
            </w:r>
          </w:p>
        </w:tc>
      </w:tr>
      <w:tr>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AFFG-004-006</w:t>
            </w:r>
          </w:p>
        </w:tc>
        <w:tc>
          <w:tcPr>
            <w:tcW w:w="42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Endpoint Security Stack Deployment – All 10 Endpoints</w:t>
            </w:r>
          </w:p>
        </w:tc>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CHD-TS1</w:t>
            </w:r>
          </w:p>
        </w:tc>
        <w:tc>
          <w:tcPr>
            <w:tcW w:w="9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4</w:t>
            </w:r>
          </w:p>
        </w:tc>
      </w:tr>
      <w:tr>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AFFG-004-007</w:t>
            </w:r>
          </w:p>
        </w:tc>
        <w:tc>
          <w:tcPr>
            <w:tcW w:w="42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MyAudit UAM+DLP Deployment &amp; Policy Configuration – All 10 Endpoints</w:t>
            </w:r>
          </w:p>
        </w:tc>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CHD-TS1</w:t>
            </w:r>
          </w:p>
        </w:tc>
        <w:tc>
          <w:tcPr>
            <w:tcW w:w="9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4</w:t>
            </w:r>
          </w:p>
        </w:tc>
      </w:tr>
      <w:tr>
        <w:tc>
          <w:tcPr>
            <w:tcW w:w="160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
            </w:r>
          </w:p>
        </w:tc>
        <w:tc>
          <w:tcPr>
            <w:tcW w:w="420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Phase Total</w:t>
            </w:r>
          </w:p>
        </w:tc>
        <w:tc>
          <w:tcPr>
            <w:tcW w:w="160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
            </w:r>
          </w:p>
        </w:tc>
        <w:tc>
          <w:tcPr>
            <w:tcW w:w="96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24</w:t>
            </w:r>
          </w:p>
        </w:tc>
      </w:tr>
    </w:tbl>
    <w:p/>
    <w:p>
      <w:pPr>
        <w:pStyle w:val="Heading2"/>
      </w:pPr>
      <w:r>
        <w:rPr>
          <w:rFonts w:ascii="Open Sans" w:hAnsi="Open Sans" w:cs="Open Sans" w:eastAsia="Open Sans"/>
          <w:color w:val="59595B"/>
          <w:sz w:val="22"/>
          <w:szCs w:val="22"/>
        </w:rPr>
        <w:t xml:space="preserve">Phase 2: Access Control &amp; ZTNA (Weeks 3–6)</w:t>
      </w:r>
    </w:p>
    <w:p>
      <w:pPr>
        <w:spacing w:before="0" w:after="120"/>
      </w:pPr>
      <w:r>
        <w:rPr>
          <w:rFonts w:ascii="Open Sans" w:hAnsi="Open Sans" w:cs="Open Sans" w:eastAsia="Open Sans"/>
          <w:color w:val="59595B"/>
          <w:sz w:val="22"/>
          <w:szCs w:val="22"/>
        </w:rPr>
        <w:t xml:space="preserve">5 tickets  |  16 hours</w:t>
      </w:r>
    </w:p>
    <w:p>
      <w:pPr>
        <w:spacing w:before="0" w:after="120"/>
      </w:pPr>
      <w:r>
        <w:rPr>
          <w:rFonts w:ascii="Open Sans" w:hAnsi="Open Sans" w:cs="Open Sans" w:eastAsia="Open Sans"/>
          <w:color w:val="59595B"/>
          <w:sz w:val="22"/>
          <w:szCs w:val="22"/>
        </w:rPr>
        <w:t xml:space="preserve">Configure Entra ID Conditional Access policies: office WAN IP named location, Intune-compliant device requirement for M365, legacy authentication block, and MFA enforcement. Deploy CloudBrink ZTNA (tenant provisioning, connector, agent on all 10 endpoints, per-application micro-segmentation). Whitelist CloudBrink egress IP at Schwab Advisor Services and IBKR as the sole permitted remote access origin. Remove Cisco Umbrella from all 10 endpoints.</w:t>
      </w:r>
    </w:p>
    <w:p>
      <w:pPr>
        <w:pStyle w:val="Heading3"/>
      </w:pPr>
      <w:r>
        <w:rPr>
          <w:rFonts w:ascii="Open Sans" w:hAnsi="Open Sans" w:cs="Open Sans" w:eastAsia="Open Sans"/>
          <w:color w:val="59595B"/>
          <w:sz w:val="22"/>
          <w:szCs w:val="22"/>
        </w:rPr>
        <w:t xml:space="preserve">Phase 2 Tickets</w:t>
      </w:r>
    </w:p>
    <w:tbl>
      <w:tblPr>
        <w:tblW w:w="8360" w:type="dxa"/>
      </w:tblPr>
      <w:tblGrid>
        <w:gridCol w:w="1600"/>
        <w:gridCol w:w="4200"/>
        <w:gridCol w:w="1600"/>
        <w:gridCol w:w="960"/>
      </w:tblGrid>
      <w:tr>
        <w:tc>
          <w:tcPr>
            <w:tcW w:w="160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Ticket</w:t>
            </w:r>
          </w:p>
        </w:tc>
        <w:tc>
          <w:tcPr>
            <w:tcW w:w="420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Title</w:t>
            </w:r>
          </w:p>
        </w:tc>
        <w:tc>
          <w:tcPr>
            <w:tcW w:w="160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Assigned To</w:t>
            </w:r>
          </w:p>
        </w:tc>
        <w:tc>
          <w:tcPr>
            <w:tcW w:w="96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Est. Hours</w:t>
            </w:r>
          </w:p>
        </w:tc>
      </w:tr>
      <w:tr>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AFFG-004-008</w:t>
            </w:r>
          </w:p>
        </w:tc>
        <w:tc>
          <w:tcPr>
            <w:tcW w:w="42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Conditional Access Policy Suite – Named Location + Compliant Device + MFA</w:t>
            </w:r>
          </w:p>
        </w:tc>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IRV-TS1</w:t>
            </w:r>
          </w:p>
        </w:tc>
        <w:tc>
          <w:tcPr>
            <w:tcW w:w="9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4</w:t>
            </w:r>
          </w:p>
        </w:tc>
      </w:tr>
      <w:tr>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AFFG-004-009</w:t>
            </w:r>
          </w:p>
        </w:tc>
        <w:tc>
          <w:tcPr>
            <w:tcW w:w="42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CloudBrink ZTNA Tenant &amp; Connector Provisioning</w:t>
            </w:r>
          </w:p>
        </w:tc>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IRV-TS1</w:t>
            </w:r>
          </w:p>
        </w:tc>
        <w:tc>
          <w:tcPr>
            <w:tcW w:w="9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3</w:t>
            </w:r>
          </w:p>
        </w:tc>
      </w:tr>
      <w:tr>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AFFG-004-010</w:t>
            </w:r>
          </w:p>
        </w:tc>
        <w:tc>
          <w:tcPr>
            <w:tcW w:w="42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CloudBrink Agent Deployment – All 10 Endpoints (replaces Cisco Umbrella)</w:t>
            </w:r>
          </w:p>
        </w:tc>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CHD-TS1</w:t>
            </w:r>
          </w:p>
        </w:tc>
        <w:tc>
          <w:tcPr>
            <w:tcW w:w="9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3</w:t>
            </w:r>
          </w:p>
        </w:tc>
      </w:tr>
      <w:tr>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AFFG-004-011</w:t>
            </w:r>
          </w:p>
        </w:tc>
        <w:tc>
          <w:tcPr>
            <w:tcW w:w="42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CloudBrink Access Policies &amp; Per-App Micro-Segmentation</w:t>
            </w:r>
          </w:p>
        </w:tc>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CHD-TS1</w:t>
            </w:r>
          </w:p>
        </w:tc>
        <w:tc>
          <w:tcPr>
            <w:tcW w:w="9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3</w:t>
            </w:r>
          </w:p>
        </w:tc>
      </w:tr>
      <w:tr>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AFFG-004-012</w:t>
            </w:r>
          </w:p>
        </w:tc>
        <w:tc>
          <w:tcPr>
            <w:tcW w:w="42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Schwab &amp; IBKR IP Whitelist Update – Office WAN IP + CloudBrink Egress IP</w:t>
            </w:r>
          </w:p>
        </w:tc>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IRV-TS1</w:t>
            </w:r>
          </w:p>
        </w:tc>
        <w:tc>
          <w:tcPr>
            <w:tcW w:w="9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3</w:t>
            </w:r>
          </w:p>
        </w:tc>
      </w:tr>
      <w:tr>
        <w:tc>
          <w:tcPr>
            <w:tcW w:w="160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
            </w:r>
          </w:p>
        </w:tc>
        <w:tc>
          <w:tcPr>
            <w:tcW w:w="420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Phase Total</w:t>
            </w:r>
          </w:p>
        </w:tc>
        <w:tc>
          <w:tcPr>
            <w:tcW w:w="160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
            </w:r>
          </w:p>
        </w:tc>
        <w:tc>
          <w:tcPr>
            <w:tcW w:w="96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16</w:t>
            </w:r>
          </w:p>
        </w:tc>
      </w:tr>
    </w:tbl>
    <w:p/>
    <w:p>
      <w:pPr>
        <w:pStyle w:val="Heading2"/>
      </w:pPr>
      <w:r>
        <w:rPr>
          <w:rFonts w:ascii="Open Sans" w:hAnsi="Open Sans" w:cs="Open Sans" w:eastAsia="Open Sans"/>
          <w:color w:val="59595B"/>
          <w:sz w:val="22"/>
          <w:szCs w:val="22"/>
        </w:rPr>
        <w:t xml:space="preserve">Phase 3: BYOD Mobile MAM (Weeks 5–7)</w:t>
      </w:r>
    </w:p>
    <w:p>
      <w:pPr>
        <w:spacing w:before="0" w:after="120"/>
      </w:pPr>
      <w:r>
        <w:rPr>
          <w:rFonts w:ascii="Open Sans" w:hAnsi="Open Sans" w:cs="Open Sans" w:eastAsia="Open Sans"/>
          <w:color w:val="59595B"/>
          <w:sz w:val="22"/>
          <w:szCs w:val="22"/>
        </w:rPr>
        <w:t xml:space="preserve">2 tickets  |  4 hours</w:t>
      </w:r>
    </w:p>
    <w:p>
      <w:pPr>
        <w:spacing w:before="0" w:after="120"/>
      </w:pPr>
      <w:r>
        <w:rPr>
          <w:rFonts w:ascii="Open Sans" w:hAnsi="Open Sans" w:cs="Open Sans" w:eastAsia="Open Sans"/>
          <w:color w:val="59595B"/>
          <w:sz w:val="22"/>
          <w:szCs w:val="22"/>
        </w:rPr>
        <w:t xml:space="preserve">Configure Intune App Protection (MAM) policies for employee personal mobile devices. No MDM enrollment of personal devices. Employees install the Outlook App from their personal app store; MAM policies containerize corporate data, enforce app PIN, and enable selective corporate data wipe on separation without accessing personal content. Full M365 browser access from mobile is blocked via Conditional Access unless on an Intune-managed company endpoint.</w:t>
      </w:r>
    </w:p>
    <w:p>
      <w:pPr>
        <w:pStyle w:val="Heading3"/>
      </w:pPr>
      <w:r>
        <w:rPr>
          <w:rFonts w:ascii="Open Sans" w:hAnsi="Open Sans" w:cs="Open Sans" w:eastAsia="Open Sans"/>
          <w:color w:val="59595B"/>
          <w:sz w:val="22"/>
          <w:szCs w:val="22"/>
        </w:rPr>
        <w:t xml:space="preserve">Phase 3 Tickets</w:t>
      </w:r>
    </w:p>
    <w:tbl>
      <w:tblPr>
        <w:tblW w:w="8360" w:type="dxa"/>
      </w:tblPr>
      <w:tblGrid>
        <w:gridCol w:w="1600"/>
        <w:gridCol w:w="4200"/>
        <w:gridCol w:w="1600"/>
        <w:gridCol w:w="960"/>
      </w:tblGrid>
      <w:tr>
        <w:tc>
          <w:tcPr>
            <w:tcW w:w="160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Ticket</w:t>
            </w:r>
          </w:p>
        </w:tc>
        <w:tc>
          <w:tcPr>
            <w:tcW w:w="420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Title</w:t>
            </w:r>
          </w:p>
        </w:tc>
        <w:tc>
          <w:tcPr>
            <w:tcW w:w="160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Assigned To</w:t>
            </w:r>
          </w:p>
        </w:tc>
        <w:tc>
          <w:tcPr>
            <w:tcW w:w="96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Est. Hours</w:t>
            </w:r>
          </w:p>
        </w:tc>
      </w:tr>
      <w:tr>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AFFG-004-013</w:t>
            </w:r>
          </w:p>
        </w:tc>
        <w:tc>
          <w:tcPr>
            <w:tcW w:w="42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Intune MAM Policy Configuration – BYOD Outlook App (iOS &amp; Android)</w:t>
            </w:r>
          </w:p>
        </w:tc>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CHD-TS1</w:t>
            </w:r>
          </w:p>
        </w:tc>
        <w:tc>
          <w:tcPr>
            <w:tcW w:w="9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2</w:t>
            </w:r>
          </w:p>
        </w:tc>
      </w:tr>
      <w:tr>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AFFG-004-014</w:t>
            </w:r>
          </w:p>
        </w:tc>
        <w:tc>
          <w:tcPr>
            <w:tcW w:w="42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MAM Policy Testing &amp; Employee BYOD Setup Guide</w:t>
            </w:r>
          </w:p>
        </w:tc>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CHD-TS1</w:t>
            </w:r>
          </w:p>
        </w:tc>
        <w:tc>
          <w:tcPr>
            <w:tcW w:w="9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2</w:t>
            </w:r>
          </w:p>
        </w:tc>
      </w:tr>
      <w:tr>
        <w:tc>
          <w:tcPr>
            <w:tcW w:w="160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
            </w:r>
          </w:p>
        </w:tc>
        <w:tc>
          <w:tcPr>
            <w:tcW w:w="420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Phase Total</w:t>
            </w:r>
          </w:p>
        </w:tc>
        <w:tc>
          <w:tcPr>
            <w:tcW w:w="160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
            </w:r>
          </w:p>
        </w:tc>
        <w:tc>
          <w:tcPr>
            <w:tcW w:w="96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4</w:t>
            </w:r>
          </w:p>
        </w:tc>
      </w:tr>
    </w:tbl>
    <w:p/>
    <w:p>
      <w:pPr>
        <w:pStyle w:val="Heading2"/>
      </w:pPr>
      <w:r>
        <w:rPr>
          <w:rFonts w:ascii="Open Sans" w:hAnsi="Open Sans" w:cs="Open Sans" w:eastAsia="Open Sans"/>
          <w:color w:val="59595B"/>
          <w:sz w:val="22"/>
          <w:szCs w:val="22"/>
        </w:rPr>
        <w:t xml:space="preserve">Phase 4: Legacy Desktop Offboarding (Weeks 5–8)</w:t>
      </w:r>
    </w:p>
    <w:p>
      <w:pPr>
        <w:spacing w:before="0" w:after="120"/>
      </w:pPr>
      <w:r>
        <w:rPr>
          <w:rFonts w:ascii="Open Sans" w:hAnsi="Open Sans" w:cs="Open Sans" w:eastAsia="Open Sans"/>
          <w:color w:val="59595B"/>
          <w:sz w:val="22"/>
          <w:szCs w:val="22"/>
        </w:rPr>
        <w:t xml:space="preserve">3 tickets  |  8 hours</w:t>
      </w:r>
    </w:p>
    <w:p>
      <w:pPr>
        <w:spacing w:before="0" w:after="120"/>
      </w:pPr>
      <w:r>
        <w:rPr>
          <w:rFonts w:ascii="Open Sans" w:hAnsi="Open Sans" w:cs="Open Sans" w:eastAsia="Open Sans"/>
          <w:color w:val="59595B"/>
          <w:sz w:val="22"/>
          <w:szCs w:val="22"/>
        </w:rPr>
        <w:t xml:space="preserve">Decommission the 16 legacy physical desktops from Technijian managed services. Remove all Technijian agents (CrowdStrike, Huntress, Patch Management, My Remote, Cisco Umbrella) from retiring devices. User data transfer assistance for any users moving from a retiring desktop to a new managed endpoint. Draft and deliver Schedule A amendment to reflect the reduced fleet and updated service stack.</w:t>
      </w:r>
    </w:p>
    <w:p>
      <w:pPr>
        <w:pStyle w:val="Heading3"/>
      </w:pPr>
      <w:r>
        <w:rPr>
          <w:rFonts w:ascii="Open Sans" w:hAnsi="Open Sans" w:cs="Open Sans" w:eastAsia="Open Sans"/>
          <w:color w:val="59595B"/>
          <w:sz w:val="22"/>
          <w:szCs w:val="22"/>
        </w:rPr>
        <w:t xml:space="preserve">Phase 4 Tickets</w:t>
      </w:r>
    </w:p>
    <w:tbl>
      <w:tblPr>
        <w:tblW w:w="8360" w:type="dxa"/>
      </w:tblPr>
      <w:tblGrid>
        <w:gridCol w:w="1600"/>
        <w:gridCol w:w="4200"/>
        <w:gridCol w:w="1600"/>
        <w:gridCol w:w="960"/>
      </w:tblGrid>
      <w:tr>
        <w:tc>
          <w:tcPr>
            <w:tcW w:w="160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Ticket</w:t>
            </w:r>
          </w:p>
        </w:tc>
        <w:tc>
          <w:tcPr>
            <w:tcW w:w="420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Title</w:t>
            </w:r>
          </w:p>
        </w:tc>
        <w:tc>
          <w:tcPr>
            <w:tcW w:w="160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Assigned To</w:t>
            </w:r>
          </w:p>
        </w:tc>
        <w:tc>
          <w:tcPr>
            <w:tcW w:w="96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Est. Hours</w:t>
            </w:r>
          </w:p>
        </w:tc>
      </w:tr>
      <w:tr>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AFFG-004-015</w:t>
            </w:r>
          </w:p>
        </w:tc>
        <w:tc>
          <w:tcPr>
            <w:tcW w:w="42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Agent Removal from 16 Legacy Desktops &amp; Managed Services Offboarding</w:t>
            </w:r>
          </w:p>
        </w:tc>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CHD-TS1</w:t>
            </w:r>
          </w:p>
        </w:tc>
        <w:tc>
          <w:tcPr>
            <w:tcW w:w="9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4</w:t>
            </w:r>
          </w:p>
        </w:tc>
      </w:tr>
      <w:tr>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AFFG-004-016</w:t>
            </w:r>
          </w:p>
        </w:tc>
        <w:tc>
          <w:tcPr>
            <w:tcW w:w="42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User Data Transfer Assistance – Legacy Desktop to New Endpoint</w:t>
            </w:r>
          </w:p>
        </w:tc>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CHD-TS1</w:t>
            </w:r>
          </w:p>
        </w:tc>
        <w:tc>
          <w:tcPr>
            <w:tcW w:w="9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2</w:t>
            </w:r>
          </w:p>
        </w:tc>
      </w:tr>
      <w:tr>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AFFG-004-017</w:t>
            </w:r>
          </w:p>
        </w:tc>
        <w:tc>
          <w:tcPr>
            <w:tcW w:w="42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Schedule A Amendment – Fleet Right-Sizing &amp; Compliance Stack Update</w:t>
            </w:r>
          </w:p>
        </w:tc>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IRV-TS1</w:t>
            </w:r>
          </w:p>
        </w:tc>
        <w:tc>
          <w:tcPr>
            <w:tcW w:w="9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2</w:t>
            </w:r>
          </w:p>
        </w:tc>
      </w:tr>
      <w:tr>
        <w:tc>
          <w:tcPr>
            <w:tcW w:w="160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
            </w:r>
          </w:p>
        </w:tc>
        <w:tc>
          <w:tcPr>
            <w:tcW w:w="420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Phase Total</w:t>
            </w:r>
          </w:p>
        </w:tc>
        <w:tc>
          <w:tcPr>
            <w:tcW w:w="160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
            </w:r>
          </w:p>
        </w:tc>
        <w:tc>
          <w:tcPr>
            <w:tcW w:w="96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8</w:t>
            </w:r>
          </w:p>
        </w:tc>
      </w:tr>
    </w:tbl>
    <w:p/>
    <w:p>
      <w:pPr>
        <w:pStyle w:val="Heading2"/>
      </w:pPr>
      <w:r>
        <w:rPr>
          <w:rFonts w:ascii="Open Sans" w:hAnsi="Open Sans" w:cs="Open Sans" w:eastAsia="Open Sans"/>
          <w:color w:val="59595B"/>
          <w:sz w:val="22"/>
          <w:szCs w:val="22"/>
        </w:rPr>
        <w:t xml:space="preserve">Phase 5: Validation &amp; Training (Weeks 7–10)</w:t>
      </w:r>
    </w:p>
    <w:p>
      <w:pPr>
        <w:spacing w:before="0" w:after="120"/>
      </w:pPr>
      <w:r>
        <w:rPr>
          <w:rFonts w:ascii="Open Sans" w:hAnsi="Open Sans" w:cs="Open Sans" w:eastAsia="Open Sans"/>
          <w:color w:val="59595B"/>
          <w:sz w:val="22"/>
          <w:szCs w:val="22"/>
        </w:rPr>
        <w:t xml:space="preserve">4 tickets  |  12 hours</w:t>
      </w:r>
    </w:p>
    <w:p>
      <w:pPr>
        <w:spacing w:before="0" w:after="120"/>
      </w:pPr>
      <w:r>
        <w:rPr>
          <w:rFonts w:ascii="Open Sans" w:hAnsi="Open Sans" w:cs="Open Sans" w:eastAsia="Open Sans"/>
          <w:color w:val="59595B"/>
          <w:sz w:val="22"/>
          <w:szCs w:val="22"/>
        </w:rPr>
        <w:t xml:space="preserve">End-to-end security and compliance validation across all 10 managed endpoints. Verify MyAudit DLP policy enforcement, CloudBrink ZTNA posture checks, Conditional Access enforcement, and MAM containment. User training on managed-device workflows and CloudBrink remote access. Compliance gap assessment documenting SEC Reg S-P and FINRA control coverage.</w:t>
      </w:r>
    </w:p>
    <w:p>
      <w:pPr>
        <w:pStyle w:val="Heading3"/>
      </w:pPr>
      <w:r>
        <w:rPr>
          <w:rFonts w:ascii="Open Sans" w:hAnsi="Open Sans" w:cs="Open Sans" w:eastAsia="Open Sans"/>
          <w:color w:val="59595B"/>
          <w:sz w:val="22"/>
          <w:szCs w:val="22"/>
        </w:rPr>
        <w:t xml:space="preserve">Phase 5 Tickets</w:t>
      </w:r>
    </w:p>
    <w:tbl>
      <w:tblPr>
        <w:tblW w:w="8360" w:type="dxa"/>
      </w:tblPr>
      <w:tblGrid>
        <w:gridCol w:w="1600"/>
        <w:gridCol w:w="4200"/>
        <w:gridCol w:w="1600"/>
        <w:gridCol w:w="960"/>
      </w:tblGrid>
      <w:tr>
        <w:tc>
          <w:tcPr>
            <w:tcW w:w="160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Ticket</w:t>
            </w:r>
          </w:p>
        </w:tc>
        <w:tc>
          <w:tcPr>
            <w:tcW w:w="420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Title</w:t>
            </w:r>
          </w:p>
        </w:tc>
        <w:tc>
          <w:tcPr>
            <w:tcW w:w="160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Assigned To</w:t>
            </w:r>
          </w:p>
        </w:tc>
        <w:tc>
          <w:tcPr>
            <w:tcW w:w="96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Est. Hours</w:t>
            </w:r>
          </w:p>
        </w:tc>
      </w:tr>
      <w:tr>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AFFG-004-018</w:t>
            </w:r>
          </w:p>
        </w:tc>
        <w:tc>
          <w:tcPr>
            <w:tcW w:w="42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End-to-End Security &amp; Compliance Validation – All 10 Endpoints</w:t>
            </w:r>
          </w:p>
        </w:tc>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IRV-TS1</w:t>
            </w:r>
          </w:p>
        </w:tc>
        <w:tc>
          <w:tcPr>
            <w:tcW w:w="9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4</w:t>
            </w:r>
          </w:p>
        </w:tc>
      </w:tr>
      <w:tr>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AFFG-004-019</w:t>
            </w:r>
          </w:p>
        </w:tc>
        <w:tc>
          <w:tcPr>
            <w:tcW w:w="42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MyAudit DLP &amp; CloudBrink Policy Verification</w:t>
            </w:r>
          </w:p>
        </w:tc>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CHD-TS1</w:t>
            </w:r>
          </w:p>
        </w:tc>
        <w:tc>
          <w:tcPr>
            <w:tcW w:w="9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3</w:t>
            </w:r>
          </w:p>
        </w:tc>
      </w:tr>
      <w:tr>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AFFG-004-020</w:t>
            </w:r>
          </w:p>
        </w:tc>
        <w:tc>
          <w:tcPr>
            <w:tcW w:w="42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User Training – Managed Endpoints &amp; CloudBrink Remote Access</w:t>
            </w:r>
          </w:p>
        </w:tc>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CHD-TS1</w:t>
            </w:r>
          </w:p>
        </w:tc>
        <w:tc>
          <w:tcPr>
            <w:tcW w:w="9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3</w:t>
            </w:r>
          </w:p>
        </w:tc>
      </w:tr>
      <w:tr>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AFFG-004-021</w:t>
            </w:r>
          </w:p>
        </w:tc>
        <w:tc>
          <w:tcPr>
            <w:tcW w:w="42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Compliance Gap Assessment &amp; Control Coverage Report (SEC/FINRA)</w:t>
            </w:r>
          </w:p>
        </w:tc>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IRV-TS1</w:t>
            </w:r>
          </w:p>
        </w:tc>
        <w:tc>
          <w:tcPr>
            <w:tcW w:w="9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2</w:t>
            </w:r>
          </w:p>
        </w:tc>
      </w:tr>
      <w:tr>
        <w:tc>
          <w:tcPr>
            <w:tcW w:w="160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
            </w:r>
          </w:p>
        </w:tc>
        <w:tc>
          <w:tcPr>
            <w:tcW w:w="420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Phase Total</w:t>
            </w:r>
          </w:p>
        </w:tc>
        <w:tc>
          <w:tcPr>
            <w:tcW w:w="160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
            </w:r>
          </w:p>
        </w:tc>
        <w:tc>
          <w:tcPr>
            <w:tcW w:w="96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12</w:t>
            </w:r>
          </w:p>
        </w:tc>
      </w:tr>
    </w:tbl>
    <w:p/>
    <w:p>
      <w:pPr>
        <w:pStyle w:val="Heading2"/>
      </w:pPr>
      <w:r>
        <w:rPr>
          <w:rFonts w:ascii="Open Sans" w:hAnsi="Open Sans" w:cs="Open Sans" w:eastAsia="Open Sans"/>
          <w:color w:val="59595B"/>
          <w:sz w:val="22"/>
          <w:szCs w:val="22"/>
        </w:rPr>
        <w:t xml:space="preserve">Phase 6: Documentation (Weeks 9–12)</w:t>
      </w:r>
    </w:p>
    <w:p>
      <w:pPr>
        <w:spacing w:before="0" w:after="120"/>
      </w:pPr>
      <w:r>
        <w:rPr>
          <w:rFonts w:ascii="Open Sans" w:hAnsi="Open Sans" w:cs="Open Sans" w:eastAsia="Open Sans"/>
          <w:color w:val="59595B"/>
          <w:sz w:val="22"/>
          <w:szCs w:val="22"/>
        </w:rPr>
        <w:t xml:space="preserve">2 tickets  |  8 hours</w:t>
      </w:r>
    </w:p>
    <w:p>
      <w:pPr>
        <w:spacing w:before="0" w:after="120"/>
      </w:pPr>
      <w:r>
        <w:rPr>
          <w:rFonts w:ascii="Open Sans" w:hAnsi="Open Sans" w:cs="Open Sans" w:eastAsia="Open Sans"/>
          <w:color w:val="59595B"/>
          <w:sz w:val="22"/>
          <w:szCs w:val="22"/>
        </w:rPr>
        <w:t xml:space="preserve">Update compliance documentation suite to reflect the managed-device architecture: endpoint security policy, ZTNA access control runbook, incident response procedure, and data handling policy. All documents delivered in Technijian standard format.</w:t>
      </w:r>
    </w:p>
    <w:p>
      <w:pPr>
        <w:pStyle w:val="Heading3"/>
      </w:pPr>
      <w:r>
        <w:rPr>
          <w:rFonts w:ascii="Open Sans" w:hAnsi="Open Sans" w:cs="Open Sans" w:eastAsia="Open Sans"/>
          <w:color w:val="59595B"/>
          <w:sz w:val="22"/>
          <w:szCs w:val="22"/>
        </w:rPr>
        <w:t xml:space="preserve">Phase 6 Tickets</w:t>
      </w:r>
    </w:p>
    <w:tbl>
      <w:tblPr>
        <w:tblW w:w="8360" w:type="dxa"/>
      </w:tblPr>
      <w:tblGrid>
        <w:gridCol w:w="1600"/>
        <w:gridCol w:w="4200"/>
        <w:gridCol w:w="1600"/>
        <w:gridCol w:w="960"/>
      </w:tblGrid>
      <w:tr>
        <w:tc>
          <w:tcPr>
            <w:tcW w:w="160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Ticket</w:t>
            </w:r>
          </w:p>
        </w:tc>
        <w:tc>
          <w:tcPr>
            <w:tcW w:w="420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Title</w:t>
            </w:r>
          </w:p>
        </w:tc>
        <w:tc>
          <w:tcPr>
            <w:tcW w:w="160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Assigned To</w:t>
            </w:r>
          </w:p>
        </w:tc>
        <w:tc>
          <w:tcPr>
            <w:tcW w:w="96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Est. Hours</w:t>
            </w:r>
          </w:p>
        </w:tc>
      </w:tr>
      <w:tr>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AFFG-004-022</w:t>
            </w:r>
          </w:p>
        </w:tc>
        <w:tc>
          <w:tcPr>
            <w:tcW w:w="42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Update Compliance Documentation Suite – Managed Device Architecture</w:t>
            </w:r>
          </w:p>
        </w:tc>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CHD-TS1</w:t>
            </w:r>
          </w:p>
        </w:tc>
        <w:tc>
          <w:tcPr>
            <w:tcW w:w="9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6</w:t>
            </w:r>
          </w:p>
        </w:tc>
      </w:tr>
      <w:tr>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AFFG-004-023</w:t>
            </w:r>
          </w:p>
        </w:tc>
        <w:tc>
          <w:tcPr>
            <w:tcW w:w="42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Final Deliverable Package &amp; Client Acceptance Sign-Off</w:t>
            </w:r>
          </w:p>
        </w:tc>
        <w:tc>
          <w:tcPr>
            <w:tcW w:w="16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IRV-TS1</w:t>
            </w:r>
          </w:p>
        </w:tc>
        <w:tc>
          <w:tcPr>
            <w:tcW w:w="9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2</w:t>
            </w:r>
          </w:p>
        </w:tc>
      </w:tr>
      <w:tr>
        <w:tc>
          <w:tcPr>
            <w:tcW w:w="160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
            </w:r>
          </w:p>
        </w:tc>
        <w:tc>
          <w:tcPr>
            <w:tcW w:w="420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Phase Total</w:t>
            </w:r>
          </w:p>
        </w:tc>
        <w:tc>
          <w:tcPr>
            <w:tcW w:w="160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
            </w:r>
          </w:p>
        </w:tc>
        <w:tc>
          <w:tcPr>
            <w:tcW w:w="96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8</w:t>
            </w:r>
          </w:p>
        </w:tc>
      </w:tr>
    </w:tbl>
    <w:p/>
    <w:p>
      <w:pPr>
        <w:pStyle w:val="Heading1"/>
      </w:pPr>
      <w:r>
        <w:rPr>
          <w:rFonts w:ascii="Open Sans" w:hAnsi="Open Sans" w:cs="Open Sans" w:eastAsia="Open Sans"/>
          <w:color w:val="59595B"/>
          <w:sz w:val="22"/>
          <w:szCs w:val="22"/>
        </w:rPr>
        <w:t xml:space="preserve">3. CONTROL-TO-CITATION MAP</w:t>
      </w:r>
    </w:p>
    <w:p>
      <w:pPr>
        <w:spacing w:before="0" w:after="120"/>
      </w:pPr>
      <w:r>
        <w:rPr>
          <w:rFonts w:ascii="Open Sans" w:hAnsi="Open Sans" w:cs="Open Sans" w:eastAsia="Open Sans"/>
          <w:color w:val="59595B"/>
          <w:sz w:val="22"/>
          <w:szCs w:val="22"/>
        </w:rPr>
        <w:t xml:space="preserve">The following table maps each design component to its regulatory control objective:</w:t>
      </w:r>
    </w:p>
    <w:tbl>
      <w:tblPr>
        <w:tblW w:w="7360" w:type="dxa"/>
      </w:tblPr>
      <w:tblGrid>
        <w:gridCol w:w="2100"/>
        <w:gridCol w:w="2900"/>
        <w:gridCol w:w="2360"/>
      </w:tblGrid>
      <w:tr>
        <w:tc>
          <w:tcPr>
            <w:tcW w:w="210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Design Component</w:t>
            </w:r>
          </w:p>
        </w:tc>
        <w:tc>
          <w:tcPr>
            <w:tcW w:w="290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Control Objective</w:t>
            </w:r>
          </w:p>
        </w:tc>
        <w:tc>
          <w:tcPr>
            <w:tcW w:w="236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Citation(s)</w:t>
            </w:r>
          </w:p>
        </w:tc>
      </w:tr>
      <w:tr>
        <w:tc>
          <w:tcPr>
            <w:tcW w:w="21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Intune-managed endpoints – 4 Mac Mini + 6 Windows laptops</w:t>
            </w:r>
          </w:p>
        </w:tc>
        <w:tc>
          <w:tcPr>
            <w:tcW w:w="29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Company-owned, encrypted, policy-enforced devices with centralized MDM control</w:t>
            </w:r>
          </w:p>
        </w:tc>
        <w:tc>
          <w:tcPr>
            <w:tcW w:w="23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Reg S-P 248.30(a)(1)–(3); FINRA 3110(a)</w:t>
            </w:r>
          </w:p>
        </w:tc>
      </w:tr>
      <w:tr>
        <w:tc>
          <w:tcPr>
            <w:tcW w:w="21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CloudBrink ZTNA on all 10 endpoints (replaces Cisco Umbrella)</w:t>
            </w:r>
          </w:p>
        </w:tc>
        <w:tc>
          <w:tcPr>
            <w:tcW w:w="29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Zero-trust egress; device posture verified per session; DNS filtering; blocks unmanaged device access to portals</w:t>
            </w:r>
          </w:p>
        </w:tc>
        <w:tc>
          <w:tcPr>
            <w:tcW w:w="23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Reg S-P 248.30(a)(3); NIST AC-17, SC-7</w:t>
            </w:r>
          </w:p>
        </w:tc>
      </w:tr>
      <w:tr>
        <w:tc>
          <w:tcPr>
            <w:tcW w:w="21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Office WAN IP + CloudBrink egress IP whitelist at Schwab &amp; IBKR</w:t>
            </w:r>
          </w:p>
        </w:tc>
        <w:tc>
          <w:tcPr>
            <w:tcW w:w="29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Custodian portals accessible only from office or CloudBrink-tunneled managed device — MFA alone does not restrict device origin</w:t>
            </w:r>
          </w:p>
        </w:tc>
        <w:tc>
          <w:tcPr>
            <w:tcW w:w="23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Reg S-P 248.30(a)(3); NIST AC-3, SC-7</w:t>
            </w:r>
          </w:p>
        </w:tc>
      </w:tr>
      <w:tr>
        <w:tc>
          <w:tcPr>
            <w:tcW w:w="21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Entra ID Conditional Access – Named Location + Compliant Device</w:t>
            </w:r>
          </w:p>
        </w:tc>
        <w:tc>
          <w:tcPr>
            <w:tcW w:w="29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M365 access restricted to office WAN IP or Intune-enrolled device; legacy authentication blocked</w:t>
            </w:r>
          </w:p>
        </w:tc>
        <w:tc>
          <w:tcPr>
            <w:tcW w:w="23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Reg S-P 248.30(a)(3); NIST AC-3, IA-2(1)</w:t>
            </w:r>
          </w:p>
        </w:tc>
      </w:tr>
      <w:tr>
        <w:tc>
          <w:tcPr>
            <w:tcW w:w="21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Intune MAM – BYOD Outlook App (personal mobile)</w:t>
            </w:r>
          </w:p>
        </w:tc>
        <w:tc>
          <w:tcPr>
            <w:tcW w:w="29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Corporate email containerized on personal device; selective corporate wipe on separation; no personal data access</w:t>
            </w:r>
          </w:p>
        </w:tc>
        <w:tc>
          <w:tcPr>
            <w:tcW w:w="23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Reg S-P 248.30(a)(1)–(3); NIST AC-19, MP-6</w:t>
            </w:r>
          </w:p>
        </w:tc>
      </w:tr>
      <w:tr>
        <w:tc>
          <w:tcPr>
            <w:tcW w:w="21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MyAudit UAM+DLP (AMDLP1Y) – all 10 managed endpoints</w:t>
            </w:r>
          </w:p>
        </w:tc>
        <w:tc>
          <w:tcPr>
            <w:tcW w:w="29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Block USB exfiltration, local downloads, print, clipboard copy, and screen capture of financial data</w:t>
            </w:r>
          </w:p>
        </w:tc>
        <w:tc>
          <w:tcPr>
            <w:tcW w:w="23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Reg S-P 248.30(a)(3); NIST AC-19, MP-7</w:t>
            </w:r>
          </w:p>
        </w:tc>
      </w:tr>
      <w:tr>
        <w:tc>
          <w:tcPr>
            <w:tcW w:w="21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Technijian Veeam Backup for M365</w:t>
            </w:r>
          </w:p>
        </w:tc>
        <w:tc>
          <w:tcPr>
            <w:tcW w:w="29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Immutable, non-rewriteable backup of full M365 tenant (Exchange, Teams, SharePoint, OneDrive)</w:t>
            </w:r>
          </w:p>
        </w:tc>
        <w:tc>
          <w:tcPr>
            <w:tcW w:w="23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SEC Rule 17a-4(b),(f); FINRA 4511</w:t>
            </w:r>
          </w:p>
        </w:tc>
      </w:tr>
      <w:tr>
        <w:tc>
          <w:tcPr>
            <w:tcW w:w="21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Technijian monthly network assessment (SA)</w:t>
            </w:r>
          </w:p>
        </w:tc>
        <w:tc>
          <w:tcPr>
            <w:tcW w:w="29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Detect configuration drift; provide attested evidence of ongoing control operation</w:t>
            </w:r>
          </w:p>
        </w:tc>
        <w:tc>
          <w:tcPr>
            <w:tcW w:w="23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FINRA 3110(c); FINRA 3120</w:t>
            </w:r>
          </w:p>
        </w:tc>
      </w:tr>
    </w:tbl>
    <w:p/>
    <w:p>
      <w:pPr>
        <w:pStyle w:val="Heading1"/>
      </w:pPr>
      <w:r>
        <w:rPr>
          <w:rFonts w:ascii="Open Sans" w:hAnsi="Open Sans" w:cs="Open Sans" w:eastAsia="Open Sans"/>
          <w:color w:val="59595B"/>
          <w:sz w:val="22"/>
          <w:szCs w:val="22"/>
        </w:rPr>
        <w:t xml:space="preserve">4. DELIVERABLES</w:t>
      </w:r>
    </w:p>
    <w:p>
      <w:pPr>
        <w:pStyle w:val="ListParagraph"/>
        <w:numPr>
          <w:ilvl w:val="0"/>
          <w:numId w:val="2"/>
        </w:numPr>
        <w:spacing w:before="40" w:after="40"/>
      </w:pPr>
      <w:r>
        <w:rPr>
          <w:rFonts w:ascii="Open Sans" w:hAnsi="Open Sans" w:cs="Open Sans" w:eastAsia="Open Sans"/>
          <w:color w:val="59595B"/>
          <w:sz w:val="22"/>
          <w:szCs w:val="22"/>
        </w:rPr>
        <w:t xml:space="preserve">10 Intune-managed company endpoints (4 Mac Mini via ABM, 6 Windows laptops via Autopilot) with full security stack deployed and verified</w:t>
      </w:r>
    </w:p>
    <w:p>
      <w:pPr>
        <w:pStyle w:val="ListParagraph"/>
        <w:numPr>
          <w:ilvl w:val="0"/>
          <w:numId w:val="2"/>
        </w:numPr>
        <w:spacing w:before="40" w:after="40"/>
      </w:pPr>
      <w:r>
        <w:rPr>
          <w:rFonts w:ascii="Open Sans" w:hAnsi="Open Sans" w:cs="Open Sans" w:eastAsia="Open Sans"/>
          <w:color w:val="59595B"/>
          <w:sz w:val="22"/>
          <w:szCs w:val="22"/>
        </w:rPr>
        <w:t xml:space="preserve">CloudBrink ZTNA deployed on all 10 endpoints with per-application micro-segmented access and device posture enforcement</w:t>
      </w:r>
    </w:p>
    <w:p>
      <w:pPr>
        <w:pStyle w:val="ListParagraph"/>
        <w:numPr>
          <w:ilvl w:val="0"/>
          <w:numId w:val="2"/>
        </w:numPr>
        <w:spacing w:before="40" w:after="40"/>
      </w:pPr>
      <w:r>
        <w:rPr>
          <w:rFonts w:ascii="Open Sans" w:hAnsi="Open Sans" w:cs="Open Sans" w:eastAsia="Open Sans"/>
          <w:color w:val="59595B"/>
          <w:sz w:val="22"/>
          <w:szCs w:val="22"/>
        </w:rPr>
        <w:t xml:space="preserve">Schwab Advisor Services and IBKR whitelisted for office WAN IP and CloudBrink egress IP; all other remote access blocked</w:t>
      </w:r>
    </w:p>
    <w:p>
      <w:pPr>
        <w:pStyle w:val="ListParagraph"/>
        <w:numPr>
          <w:ilvl w:val="0"/>
          <w:numId w:val="2"/>
        </w:numPr>
        <w:spacing w:before="40" w:after="40"/>
      </w:pPr>
      <w:r>
        <w:rPr>
          <w:rFonts w:ascii="Open Sans" w:hAnsi="Open Sans" w:cs="Open Sans" w:eastAsia="Open Sans"/>
          <w:color w:val="59595B"/>
          <w:sz w:val="22"/>
          <w:szCs w:val="22"/>
        </w:rPr>
        <w:t xml:space="preserve">Entra ID Conditional Access enforcing M365 access: office WAN IP or Intune-compliant device required; legacy auth blocked</w:t>
      </w:r>
    </w:p>
    <w:p>
      <w:pPr>
        <w:pStyle w:val="ListParagraph"/>
        <w:numPr>
          <w:ilvl w:val="0"/>
          <w:numId w:val="2"/>
        </w:numPr>
        <w:spacing w:before="40" w:after="40"/>
      </w:pPr>
      <w:r>
        <w:rPr>
          <w:rFonts w:ascii="Open Sans" w:hAnsi="Open Sans" w:cs="Open Sans" w:eastAsia="Open Sans"/>
          <w:color w:val="59595B"/>
          <w:sz w:val="22"/>
          <w:szCs w:val="22"/>
        </w:rPr>
        <w:t xml:space="preserve">MyAudit UAM+DLP active on all 10 managed endpoints with DLP policy covering USB, clipboard, print, and download</w:t>
      </w:r>
    </w:p>
    <w:p>
      <w:pPr>
        <w:pStyle w:val="ListParagraph"/>
        <w:numPr>
          <w:ilvl w:val="0"/>
          <w:numId w:val="2"/>
        </w:numPr>
        <w:spacing w:before="40" w:after="40"/>
      </w:pPr>
      <w:r>
        <w:rPr>
          <w:rFonts w:ascii="Open Sans" w:hAnsi="Open Sans" w:cs="Open Sans" w:eastAsia="Open Sans"/>
          <w:color w:val="59595B"/>
          <w:sz w:val="22"/>
          <w:szCs w:val="22"/>
        </w:rPr>
        <w:t xml:space="preserve">Intune MAM policies for BYOD personal mobile devices (iOS and Android, Outlook App)</w:t>
      </w:r>
    </w:p>
    <w:p>
      <w:pPr>
        <w:pStyle w:val="ListParagraph"/>
        <w:numPr>
          <w:ilvl w:val="0"/>
          <w:numId w:val="2"/>
        </w:numPr>
        <w:spacing w:before="40" w:after="40"/>
      </w:pPr>
      <w:r>
        <w:rPr>
          <w:rFonts w:ascii="Open Sans" w:hAnsi="Open Sans" w:cs="Open Sans" w:eastAsia="Open Sans"/>
          <w:color w:val="59595B"/>
          <w:sz w:val="22"/>
          <w:szCs w:val="22"/>
        </w:rPr>
        <w:t xml:space="preserve">16 legacy desktops offboarded from Technijian managed services with all agents removed</w:t>
      </w:r>
    </w:p>
    <w:p>
      <w:pPr>
        <w:pStyle w:val="ListParagraph"/>
        <w:numPr>
          <w:ilvl w:val="0"/>
          <w:numId w:val="2"/>
        </w:numPr>
        <w:spacing w:before="40" w:after="40"/>
      </w:pPr>
      <w:r>
        <w:rPr>
          <w:rFonts w:ascii="Open Sans" w:hAnsi="Open Sans" w:cs="Open Sans" w:eastAsia="Open Sans"/>
          <w:color w:val="59595B"/>
          <w:sz w:val="22"/>
          <w:szCs w:val="22"/>
        </w:rPr>
        <w:t xml:space="preserve">Schedule A amendment reflecting updated fleet (10 endpoints) and compliance service stack</w:t>
      </w:r>
    </w:p>
    <w:p>
      <w:pPr>
        <w:pStyle w:val="ListParagraph"/>
        <w:numPr>
          <w:ilvl w:val="0"/>
          <w:numId w:val="2"/>
        </w:numPr>
        <w:spacing w:before="40" w:after="40"/>
      </w:pPr>
      <w:r>
        <w:rPr>
          <w:rFonts w:ascii="Open Sans" w:hAnsi="Open Sans" w:cs="Open Sans" w:eastAsia="Open Sans"/>
          <w:color w:val="59595B"/>
          <w:sz w:val="22"/>
          <w:szCs w:val="22"/>
        </w:rPr>
        <w:t xml:space="preserve">Updated compliance documentation suite (endpoint security policy, ZTNA runbook, IRP, data handling policy)</w:t>
      </w:r>
    </w:p>
    <w:p>
      <w:pPr>
        <w:pStyle w:val="ListParagraph"/>
        <w:numPr>
          <w:ilvl w:val="0"/>
          <w:numId w:val="2"/>
        </w:numPr>
        <w:spacing w:before="40" w:after="40"/>
      </w:pPr>
      <w:r>
        <w:rPr>
          <w:rFonts w:ascii="Open Sans" w:hAnsi="Open Sans" w:cs="Open Sans" w:eastAsia="Open Sans"/>
          <w:color w:val="59595B"/>
          <w:sz w:val="22"/>
          <w:szCs w:val="22"/>
        </w:rPr>
        <w:t xml:space="preserve">Compliance gap assessment confirming SEC Reg S-P and FINRA control coverage on managed-device architecture</w:t>
      </w:r>
    </w:p>
    <w:p>
      <w:pPr>
        <w:pStyle w:val="Heading1"/>
      </w:pPr>
      <w:r>
        <w:rPr>
          <w:rFonts w:ascii="Open Sans" w:hAnsi="Open Sans" w:cs="Open Sans" w:eastAsia="Open Sans"/>
          <w:color w:val="59595B"/>
          <w:sz w:val="22"/>
          <w:szCs w:val="22"/>
        </w:rPr>
        <w:t xml:space="preserve">5. PRICING AND PAYMENT</w:t>
      </w:r>
    </w:p>
    <w:p>
      <w:pPr>
        <w:pStyle w:val="Heading2"/>
      </w:pPr>
      <w:r>
        <w:rPr>
          <w:rFonts w:ascii="Open Sans" w:hAnsi="Open Sans" w:cs="Open Sans" w:eastAsia="Open Sans"/>
          <w:color w:val="59595B"/>
          <w:sz w:val="22"/>
          <w:szCs w:val="22"/>
        </w:rPr>
        <w:t xml:space="preserve">5.1 Labor Summary</w:t>
      </w:r>
    </w:p>
    <w:tbl>
      <w:tblPr>
        <w:tblW w:w="8360" w:type="dxa"/>
      </w:tblPr>
      <w:tblGrid>
        <w:gridCol w:w="4000"/>
        <w:gridCol w:w="1400"/>
        <w:gridCol w:w="1200"/>
        <w:gridCol w:w="1760"/>
      </w:tblGrid>
      <w:tr>
        <w:tc>
          <w:tcPr>
            <w:tcW w:w="400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Role</w:t>
            </w:r>
          </w:p>
        </w:tc>
        <w:tc>
          <w:tcPr>
            <w:tcW w:w="140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Rate</w:t>
            </w:r>
          </w:p>
        </w:tc>
        <w:tc>
          <w:tcPr>
            <w:tcW w:w="120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Hours</w:t>
            </w:r>
          </w:p>
        </w:tc>
        <w:tc>
          <w:tcPr>
            <w:tcW w:w="176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Labor</w:t>
            </w:r>
          </w:p>
        </w:tc>
      </w:tr>
      <w:tr>
        <w:tc>
          <w:tcPr>
            <w:tcW w:w="40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US Tech Support (IRV-TS1)</w:t>
            </w:r>
          </w:p>
        </w:tc>
        <w:tc>
          <w:tcPr>
            <w:tcW w:w="14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$150/hr</w:t>
            </w:r>
          </w:p>
        </w:tc>
        <w:tc>
          <w:tcPr>
            <w:tcW w:w="12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20</w:t>
            </w:r>
          </w:p>
        </w:tc>
        <w:tc>
          <w:tcPr>
            <w:tcW w:w="17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$3,000.00</w:t>
            </w:r>
          </w:p>
        </w:tc>
      </w:tr>
      <w:tr>
        <w:tc>
          <w:tcPr>
            <w:tcW w:w="40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India Tech Support (CHD-TS1)</w:t>
            </w:r>
          </w:p>
        </w:tc>
        <w:tc>
          <w:tcPr>
            <w:tcW w:w="14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$45/hr</w:t>
            </w:r>
          </w:p>
        </w:tc>
        <w:tc>
          <w:tcPr>
            <w:tcW w:w="12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52</w:t>
            </w:r>
          </w:p>
        </w:tc>
        <w:tc>
          <w:tcPr>
            <w:tcW w:w="17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$2,340.00</w:t>
            </w:r>
          </w:p>
        </w:tc>
      </w:tr>
      <w:tr>
        <w:tc>
          <w:tcPr>
            <w:tcW w:w="400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TOTAL</w:t>
            </w:r>
          </w:p>
        </w:tc>
        <w:tc>
          <w:tcPr>
            <w:tcW w:w="140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
            </w:r>
          </w:p>
        </w:tc>
        <w:tc>
          <w:tcPr>
            <w:tcW w:w="120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72 hrs</w:t>
            </w:r>
          </w:p>
        </w:tc>
        <w:tc>
          <w:tcPr>
            <w:tcW w:w="176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$5,340.00</w:t>
            </w:r>
          </w:p>
        </w:tc>
      </w:tr>
    </w:tbl>
    <w:p/>
    <w:p>
      <w:pPr>
        <w:pStyle w:val="Heading2"/>
      </w:pPr>
      <w:r>
        <w:rPr>
          <w:rFonts w:ascii="Open Sans" w:hAnsi="Open Sans" w:cs="Open Sans" w:eastAsia="Open Sans"/>
          <w:color w:val="59595B"/>
          <w:sz w:val="22"/>
          <w:szCs w:val="22"/>
        </w:rPr>
        <w:t xml:space="preserve">5.2 Payment Schedule</w:t>
      </w:r>
    </w:p>
    <w:tbl>
      <w:tblPr>
        <w:tblW w:w="8360" w:type="dxa"/>
      </w:tblPr>
      <w:tblGrid>
        <w:gridCol w:w="3000"/>
        <w:gridCol w:w="4200"/>
        <w:gridCol w:w="1160"/>
      </w:tblGrid>
      <w:tr>
        <w:tc>
          <w:tcPr>
            <w:tcW w:w="300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Milestone</w:t>
            </w:r>
          </w:p>
        </w:tc>
        <w:tc>
          <w:tcPr>
            <w:tcW w:w="420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Trigger</w:t>
            </w:r>
          </w:p>
        </w:tc>
        <w:tc>
          <w:tcPr>
            <w:tcW w:w="116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Amount</w:t>
            </w:r>
          </w:p>
        </w:tc>
      </w:tr>
      <w:tr>
        <w:tc>
          <w:tcPr>
            <w:tcW w:w="30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50% upon SOW execution</w:t>
            </w:r>
          </w:p>
        </w:tc>
        <w:tc>
          <w:tcPr>
            <w:tcW w:w="42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SOW signed by both parties</w:t>
            </w:r>
          </w:p>
        </w:tc>
        <w:tc>
          <w:tcPr>
            <w:tcW w:w="11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$2,670.00</w:t>
            </w:r>
          </w:p>
        </w:tc>
      </w:tr>
      <w:tr>
        <w:tc>
          <w:tcPr>
            <w:tcW w:w="30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25% upon Phase 4 completion</w:t>
            </w:r>
          </w:p>
        </w:tc>
        <w:tc>
          <w:tcPr>
            <w:tcW w:w="42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16 legacy desktops offboarded; Schedule A amendment delivered</w:t>
            </w:r>
          </w:p>
        </w:tc>
        <w:tc>
          <w:tcPr>
            <w:tcW w:w="11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$1,335.00</w:t>
            </w:r>
          </w:p>
        </w:tc>
      </w:tr>
      <w:tr>
        <w:tc>
          <w:tcPr>
            <w:tcW w:w="30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25% upon Phase 6 delivery</w:t>
            </w:r>
          </w:p>
        </w:tc>
        <w:tc>
          <w:tcPr>
            <w:tcW w:w="42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Compliance documentation + client acceptance sign-off</w:t>
            </w:r>
          </w:p>
        </w:tc>
        <w:tc>
          <w:tcPr>
            <w:tcW w:w="116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$1,335.00</w:t>
            </w:r>
          </w:p>
        </w:tc>
      </w:tr>
      <w:tr>
        <w:tc>
          <w:tcPr>
            <w:tcW w:w="300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Total</w:t>
            </w:r>
          </w:p>
        </w:tc>
        <w:tc>
          <w:tcPr>
            <w:tcW w:w="420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
            </w:r>
          </w:p>
        </w:tc>
        <w:tc>
          <w:tcPr>
            <w:tcW w:w="116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$5,340.00</w:t>
            </w:r>
          </w:p>
        </w:tc>
      </w:tr>
    </w:tbl>
    <w:p/>
    <w:p>
      <w:pPr>
        <w:pStyle w:val="Heading2"/>
      </w:pPr>
      <w:r>
        <w:rPr>
          <w:rFonts w:ascii="Open Sans" w:hAnsi="Open Sans" w:cs="Open Sans" w:eastAsia="Open Sans"/>
          <w:color w:val="59595B"/>
          <w:sz w:val="22"/>
          <w:szCs w:val="22"/>
        </w:rPr>
        <w:t xml:space="preserve">5.3 Payment Terms</w:t>
      </w:r>
    </w:p>
    <w:p>
      <w:pPr>
        <w:spacing w:before="0" w:after="120"/>
      </w:pPr>
      <w:r>
        <w:rPr>
          <w:rFonts w:ascii="Open Sans" w:hAnsi="Open Sans" w:cs="Open Sans" w:eastAsia="Open Sans"/>
          <w:color w:val="59595B"/>
          <w:sz w:val="22"/>
          <w:szCs w:val="22"/>
        </w:rPr>
        <w:t xml:space="preserve">All invoices are due and payable within thirty (30) days of the invoice date. Late payments are subject to a late fee of 1.5% per month on the unpaid balance.</w:t>
      </w:r>
    </w:p>
    <w:p>
      <w:pPr>
        <w:pStyle w:val="Heading1"/>
      </w:pPr>
      <w:r>
        <w:rPr>
          <w:rFonts w:ascii="Open Sans" w:hAnsi="Open Sans" w:cs="Open Sans" w:eastAsia="Open Sans"/>
          <w:color w:val="59595B"/>
          <w:sz w:val="22"/>
          <w:szCs w:val="22"/>
        </w:rPr>
        <w:t xml:space="preserve">6. ASSUMPTIONS</w:t>
      </w:r>
    </w:p>
    <w:p>
      <w:pPr>
        <w:pStyle w:val="ListParagraph"/>
        <w:numPr>
          <w:ilvl w:val="0"/>
          <w:numId w:val="2"/>
        </w:numPr>
        <w:spacing w:before="40" w:after="40"/>
      </w:pPr>
      <w:r>
        <w:rPr>
          <w:rFonts w:ascii="Open Sans" w:hAnsi="Open Sans" w:cs="Open Sans" w:eastAsia="Open Sans"/>
          <w:color w:val="59595B"/>
          <w:sz w:val="22"/>
          <w:szCs w:val="22"/>
        </w:rPr>
        <w:t xml:space="preserve">AFFG has procured or will procure 4 Mac Mini desktops and 6 Windows 11 Pro/Enterprise laptops prior to Phase 1 commencement</w:t>
      </w:r>
    </w:p>
    <w:p>
      <w:pPr>
        <w:pStyle w:val="ListParagraph"/>
        <w:numPr>
          <w:ilvl w:val="0"/>
          <w:numId w:val="2"/>
        </w:numPr>
        <w:spacing w:before="40" w:after="40"/>
      </w:pPr>
      <w:r>
        <w:rPr>
          <w:rFonts w:ascii="Open Sans" w:hAnsi="Open Sans" w:cs="Open Sans" w:eastAsia="Open Sans"/>
          <w:color w:val="59595B"/>
          <w:sz w:val="22"/>
          <w:szCs w:val="22"/>
        </w:rPr>
        <w:t xml:space="preserve">AFFG will enroll Mac Minis in Apple Business Manager (ABM) prior to Phase 1; Technijian will provide setup assistance</w:t>
      </w:r>
    </w:p>
    <w:p>
      <w:pPr>
        <w:pStyle w:val="ListParagraph"/>
        <w:numPr>
          <w:ilvl w:val="0"/>
          <w:numId w:val="2"/>
        </w:numPr>
        <w:spacing w:before="40" w:after="40"/>
      </w:pPr>
      <w:r>
        <w:rPr>
          <w:rFonts w:ascii="Open Sans" w:hAnsi="Open Sans" w:cs="Open Sans" w:eastAsia="Open Sans"/>
          <w:color w:val="59595B"/>
          <w:sz w:val="22"/>
          <w:szCs w:val="22"/>
        </w:rPr>
        <w:t xml:space="preserve">AFFG has procured CloudBrink ZTNA per-user subscription licenses for all 10 managed users</w:t>
      </w:r>
    </w:p>
    <w:p>
      <w:pPr>
        <w:pStyle w:val="ListParagraph"/>
        <w:numPr>
          <w:ilvl w:val="0"/>
          <w:numId w:val="2"/>
        </w:numPr>
        <w:spacing w:before="40" w:after="40"/>
      </w:pPr>
      <w:r>
        <w:rPr>
          <w:rFonts w:ascii="Open Sans" w:hAnsi="Open Sans" w:cs="Open Sans" w:eastAsia="Open Sans"/>
          <w:color w:val="59595B"/>
          <w:sz w:val="22"/>
          <w:szCs w:val="22"/>
        </w:rPr>
        <w:t xml:space="preserve">AFFG’s M365 tenant is licensed at E3 or E5 (Intune, Conditional Access, and Entra ID P1/P2 included)</w:t>
      </w:r>
    </w:p>
    <w:p>
      <w:pPr>
        <w:pStyle w:val="ListParagraph"/>
        <w:numPr>
          <w:ilvl w:val="0"/>
          <w:numId w:val="2"/>
        </w:numPr>
        <w:spacing w:before="40" w:after="40"/>
      </w:pPr>
      <w:r>
        <w:rPr>
          <w:rFonts w:ascii="Open Sans" w:hAnsi="Open Sans" w:cs="Open Sans" w:eastAsia="Open Sans"/>
          <w:color w:val="59595B"/>
          <w:sz w:val="22"/>
          <w:szCs w:val="22"/>
        </w:rPr>
        <w:t xml:space="preserve">AFFG employees will use personal mobile devices (BYOD) for corporate email via Outlook App; no company mobile phones</w:t>
      </w:r>
    </w:p>
    <w:p>
      <w:pPr>
        <w:pStyle w:val="ListParagraph"/>
        <w:numPr>
          <w:ilvl w:val="0"/>
          <w:numId w:val="2"/>
        </w:numPr>
        <w:spacing w:before="40" w:after="40"/>
      </w:pPr>
      <w:r>
        <w:rPr>
          <w:rFonts w:ascii="Open Sans" w:hAnsi="Open Sans" w:cs="Open Sans" w:eastAsia="Open Sans"/>
          <w:color w:val="59595B"/>
          <w:sz w:val="22"/>
          <w:szCs w:val="22"/>
        </w:rPr>
        <w:t xml:space="preserve">AFFG provides the office static WAN IP address to Technijian prior to Phase 2 commencement</w:t>
      </w:r>
    </w:p>
    <w:p>
      <w:pPr>
        <w:pStyle w:val="ListParagraph"/>
        <w:numPr>
          <w:ilvl w:val="0"/>
          <w:numId w:val="2"/>
        </w:numPr>
        <w:spacing w:before="40" w:after="40"/>
      </w:pPr>
      <w:r>
        <w:rPr>
          <w:rFonts w:ascii="Open Sans" w:hAnsi="Open Sans" w:cs="Open Sans" w:eastAsia="Open Sans"/>
          <w:color w:val="59595B"/>
          <w:sz w:val="22"/>
          <w:szCs w:val="22"/>
        </w:rPr>
        <w:t xml:space="preserve">Schwab Advisor Services and IBKR can update their IP whitelist within 5–10 business days of Technijian’s request</w:t>
      </w:r>
    </w:p>
    <w:p>
      <w:pPr>
        <w:pStyle w:val="ListParagraph"/>
        <w:numPr>
          <w:ilvl w:val="0"/>
          <w:numId w:val="2"/>
        </w:numPr>
        <w:spacing w:before="40" w:after="40"/>
      </w:pPr>
      <w:r>
        <w:rPr>
          <w:rFonts w:ascii="Open Sans" w:hAnsi="Open Sans" w:cs="Open Sans" w:eastAsia="Open Sans"/>
          <w:color w:val="59595B"/>
          <w:sz w:val="22"/>
          <w:szCs w:val="22"/>
        </w:rPr>
        <w:t xml:space="preserve">The 16 legacy desktops will be available for agent removal during Phase 4; physical disposal is AFFG’s responsibility</w:t>
      </w:r>
    </w:p>
    <w:p>
      <w:pPr>
        <w:pStyle w:val="ListParagraph"/>
        <w:numPr>
          <w:ilvl w:val="0"/>
          <w:numId w:val="2"/>
        </w:numPr>
        <w:spacing w:before="40" w:after="40"/>
      </w:pPr>
      <w:r>
        <w:rPr>
          <w:rFonts w:ascii="Open Sans" w:hAnsi="Open Sans" w:cs="Open Sans" w:eastAsia="Open Sans"/>
          <w:color w:val="59595B"/>
          <w:sz w:val="22"/>
          <w:szCs w:val="22"/>
        </w:rPr>
        <w:t xml:space="preserve">Users transitioning from legacy desktops to new managed endpoints are available during Weeks 5–8 for data transfer</w:t>
      </w:r>
    </w:p>
    <w:p>
      <w:pPr>
        <w:pStyle w:val="Heading1"/>
      </w:pPr>
      <w:r>
        <w:rPr>
          <w:rFonts w:ascii="Open Sans" w:hAnsi="Open Sans" w:cs="Open Sans" w:eastAsia="Open Sans"/>
          <w:color w:val="59595B"/>
          <w:sz w:val="22"/>
          <w:szCs w:val="22"/>
        </w:rPr>
        <w:t xml:space="preserve">7. EXCLUSIONS</w:t>
      </w:r>
    </w:p>
    <w:p>
      <w:pPr>
        <w:pStyle w:val="ListParagraph"/>
        <w:numPr>
          <w:ilvl w:val="0"/>
          <w:numId w:val="2"/>
        </w:numPr>
        <w:spacing w:before="40" w:after="40"/>
      </w:pPr>
      <w:r>
        <w:rPr>
          <w:rFonts w:ascii="Open Sans" w:hAnsi="Open Sans" w:cs="Open Sans" w:eastAsia="Open Sans"/>
          <w:color w:val="59595B"/>
          <w:sz w:val="22"/>
          <w:szCs w:val="22"/>
        </w:rPr>
        <w:t xml:space="preserve">CloudBrink per-user subscription licensing (AFFG-procured)</w:t>
      </w:r>
    </w:p>
    <w:p>
      <w:pPr>
        <w:pStyle w:val="ListParagraph"/>
        <w:numPr>
          <w:ilvl w:val="0"/>
          <w:numId w:val="2"/>
        </w:numPr>
        <w:spacing w:before="40" w:after="40"/>
      </w:pPr>
      <w:r>
        <w:rPr>
          <w:rFonts w:ascii="Open Sans" w:hAnsi="Open Sans" w:cs="Open Sans" w:eastAsia="Open Sans"/>
          <w:color w:val="59595B"/>
          <w:sz w:val="22"/>
          <w:szCs w:val="22"/>
        </w:rPr>
        <w:t xml:space="preserve">Hardware procurement (Mac Mini desktops and Windows laptops)</w:t>
      </w:r>
    </w:p>
    <w:p>
      <w:pPr>
        <w:pStyle w:val="ListParagraph"/>
        <w:numPr>
          <w:ilvl w:val="0"/>
          <w:numId w:val="2"/>
        </w:numPr>
        <w:spacing w:before="40" w:after="40"/>
      </w:pPr>
      <w:r>
        <w:rPr>
          <w:rFonts w:ascii="Open Sans" w:hAnsi="Open Sans" w:cs="Open Sans" w:eastAsia="Open Sans"/>
          <w:color w:val="59595B"/>
          <w:sz w:val="22"/>
          <w:szCs w:val="22"/>
        </w:rPr>
        <w:t xml:space="preserve">Microsoft 365 license costs (AFFG procures directly)</w:t>
      </w:r>
    </w:p>
    <w:p>
      <w:pPr>
        <w:pStyle w:val="ListParagraph"/>
        <w:numPr>
          <w:ilvl w:val="0"/>
          <w:numId w:val="2"/>
        </w:numPr>
        <w:spacing w:before="40" w:after="40"/>
      </w:pPr>
      <w:r>
        <w:rPr>
          <w:rFonts w:ascii="Open Sans" w:hAnsi="Open Sans" w:cs="Open Sans" w:eastAsia="Open Sans"/>
          <w:color w:val="59595B"/>
          <w:sz w:val="22"/>
          <w:szCs w:val="22"/>
        </w:rPr>
        <w:t xml:space="preserve">Technijian My Archive (AFFG operates own archiving platform)</w:t>
      </w:r>
    </w:p>
    <w:p>
      <w:pPr>
        <w:pStyle w:val="ListParagraph"/>
        <w:numPr>
          <w:ilvl w:val="0"/>
          <w:numId w:val="2"/>
        </w:numPr>
        <w:spacing w:before="40" w:after="40"/>
      </w:pPr>
      <w:r>
        <w:rPr>
          <w:rFonts w:ascii="Open Sans" w:hAnsi="Open Sans" w:cs="Open Sans" w:eastAsia="Open Sans"/>
          <w:color w:val="59595B"/>
          <w:sz w:val="22"/>
          <w:szCs w:val="22"/>
        </w:rPr>
        <w:t xml:space="preserve">Company-owned mobile phones and MDM enrollment thereof</w:t>
      </w:r>
    </w:p>
    <w:p>
      <w:pPr>
        <w:pStyle w:val="ListParagraph"/>
        <w:numPr>
          <w:ilvl w:val="0"/>
          <w:numId w:val="2"/>
        </w:numPr>
        <w:spacing w:before="40" w:after="40"/>
      </w:pPr>
      <w:r>
        <w:rPr>
          <w:rFonts w:ascii="Open Sans" w:hAnsi="Open Sans" w:cs="Open Sans" w:eastAsia="Open Sans"/>
          <w:color w:val="59595B"/>
          <w:sz w:val="22"/>
          <w:szCs w:val="22"/>
        </w:rPr>
        <w:t xml:space="preserve">Physical removal, disposal, or resale of the 16 legacy desktop devices</w:t>
      </w:r>
    </w:p>
    <w:p>
      <w:pPr>
        <w:pStyle w:val="ListParagraph"/>
        <w:numPr>
          <w:ilvl w:val="0"/>
          <w:numId w:val="2"/>
        </w:numPr>
        <w:spacing w:before="40" w:after="40"/>
      </w:pPr>
      <w:r>
        <w:rPr>
          <w:rFonts w:ascii="Open Sans" w:hAnsi="Open Sans" w:cs="Open Sans" w:eastAsia="Open Sans"/>
          <w:color w:val="59595B"/>
          <w:sz w:val="22"/>
          <w:szCs w:val="22"/>
        </w:rPr>
        <w:t xml:space="preserve">Remediation beyond defined scope; additional work will be scoped as a separate Change Order</w:t>
      </w:r>
    </w:p>
    <w:p>
      <w:pPr>
        <w:pStyle w:val="Heading1"/>
      </w:pPr>
      <w:r>
        <w:rPr>
          <w:rFonts w:ascii="Open Sans" w:hAnsi="Open Sans" w:cs="Open Sans" w:eastAsia="Open Sans"/>
          <w:color w:val="59595B"/>
          <w:sz w:val="22"/>
          <w:szCs w:val="22"/>
        </w:rPr>
        <w:t xml:space="preserve">8. MONTHLY COST IMPACT</w:t>
      </w:r>
    </w:p>
    <w:p>
      <w:pPr>
        <w:spacing w:before="0" w:after="120"/>
      </w:pPr>
      <w:r>
        <w:rPr>
          <w:rFonts w:ascii="Open Sans" w:hAnsi="Open Sans" w:cs="Open Sans" w:eastAsia="Open Sans"/>
          <w:color w:val="59595B"/>
          <w:sz w:val="22"/>
          <w:szCs w:val="22"/>
        </w:rPr>
        <w:t xml:space="preserve">The figures below reflect AFFG’s actual signed invoice baseline (“Current”) and the projected recurring charges after full SOW-004 implementation (“Proposed”). The net increase is a compliance investment — not a cost-reduction initiative. AFFG currently operates 16 endpoints with no endpoint DLP, no ZTNA, and no device-posture enforcement at custodian portals. The MyAudit UAM+DLP stack and CloudBrink ZTNA close gaps required under SEC Reg S-P (2024 amendments) and FINRA Rule 3110. The regulatory exposure associated with non-compliance materially exceeds the incremental monthly investment shown here.</w:t>
      </w:r>
    </w:p>
    <w:p>
      <w:pPr>
        <w:pStyle w:val="Heading2"/>
      </w:pPr>
      <w:r>
        <w:rPr>
          <w:rFonts w:ascii="Open Sans" w:hAnsi="Open Sans" w:cs="Open Sans" w:eastAsia="Open Sans"/>
          <w:color w:val="59595B"/>
          <w:sz w:val="22"/>
          <w:szCs w:val="22"/>
        </w:rPr>
        <w:t xml:space="preserve">8.1 Current vs. Proposed Monthly Recurring</w:t>
      </w:r>
    </w:p>
    <w:p>
      <w:pPr>
        <w:spacing w:before="0" w:after="120"/>
      </w:pPr>
      <w:r>
        <w:rPr>
          <w:rFonts w:ascii="Open Sans" w:hAnsi="Open Sans" w:cs="Open Sans" w:eastAsia="Open Sans"/>
          <w:color w:val="59595B"/>
          <w:sz w:val="22"/>
          <w:szCs w:val="22"/>
        </w:rPr>
        <w:t xml:space="preserve">Current Monthly (actual signed invoice – no VDI, no device compliance) = $2,794.50/mo</w:t>
      </w:r>
    </w:p>
    <w:tbl>
      <w:tblPr>
        <w:tblW w:w="8360" w:type="dxa"/>
      </w:tblPr>
      <w:tblGrid>
        <w:gridCol w:w="3800"/>
        <w:gridCol w:w="1440"/>
        <w:gridCol w:w="1440"/>
        <w:gridCol w:w="1680"/>
      </w:tblGrid>
      <w:tr>
        <w:tc>
          <w:tcPr>
            <w:tcW w:w="380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Category</w:t>
            </w:r>
          </w:p>
        </w:tc>
        <w:tc>
          <w:tcPr>
            <w:tcW w:w="144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Current Monthly</w:t>
            </w:r>
          </w:p>
        </w:tc>
        <w:tc>
          <w:tcPr>
            <w:tcW w:w="144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Proposed Monthly</w:t>
            </w:r>
          </w:p>
        </w:tc>
        <w:tc>
          <w:tcPr>
            <w:tcW w:w="168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Change</w:t>
            </w:r>
          </w:p>
        </w:tc>
      </w:tr>
      <w:tr>
        <w:tc>
          <w:tcPr>
            <w:tcW w:w="38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Endpoint security – 16 desktops (AVD/AVMH/MR/PMW/SI)</w:t>
            </w:r>
          </w:p>
        </w:tc>
        <w:tc>
          <w:tcPr>
            <w:tcW w:w="144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$424.00</w:t>
            </w:r>
          </w:p>
        </w:tc>
        <w:tc>
          <w:tcPr>
            <w:tcW w:w="144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$0.00</w:t>
            </w:r>
          </w:p>
        </w:tc>
        <w:tc>
          <w:tcPr>
            <w:tcW w:w="168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−$424.00</w:t>
            </w:r>
          </w:p>
        </w:tc>
      </w:tr>
      <w:tr>
        <w:tc>
          <w:tcPr>
            <w:tcW w:w="38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Endpoint security – 6 Windows laptops (AVD/AVMH/MR/PMW, no Umbrella)</w:t>
            </w:r>
          </w:p>
        </w:tc>
        <w:tc>
          <w:tcPr>
            <w:tcW w:w="144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$0.00</w:t>
            </w:r>
          </w:p>
        </w:tc>
        <w:tc>
          <w:tcPr>
            <w:tcW w:w="144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$123.00</w:t>
            </w:r>
          </w:p>
        </w:tc>
        <w:tc>
          <w:tcPr>
            <w:tcW w:w="168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+$123.00</w:t>
            </w:r>
          </w:p>
        </w:tc>
      </w:tr>
      <w:tr>
        <w:tc>
          <w:tcPr>
            <w:tcW w:w="38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Endpoint security – 4 Mac Mini (AVD/AVMH/MR/PMMAC, no Umbrella)</w:t>
            </w:r>
          </w:p>
        </w:tc>
        <w:tc>
          <w:tcPr>
            <w:tcW w:w="144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$0.00</w:t>
            </w:r>
          </w:p>
        </w:tc>
        <w:tc>
          <w:tcPr>
            <w:tcW w:w="144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$110.00</w:t>
            </w:r>
          </w:p>
        </w:tc>
        <w:tc>
          <w:tcPr>
            <w:tcW w:w="168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+$110.00</w:t>
            </w:r>
          </w:p>
        </w:tc>
      </w:tr>
      <w:tr>
        <w:tc>
          <w:tcPr>
            <w:tcW w:w="38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CloudBrink ZTNA – 10 endpoints @ $8.00 (replaces Cisco Umbrella)</w:t>
            </w:r>
          </w:p>
        </w:tc>
        <w:tc>
          <w:tcPr>
            <w:tcW w:w="144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$0.00</w:t>
            </w:r>
          </w:p>
        </w:tc>
        <w:tc>
          <w:tcPr>
            <w:tcW w:w="144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$80.00</w:t>
            </w:r>
          </w:p>
        </w:tc>
        <w:tc>
          <w:tcPr>
            <w:tcW w:w="168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+$80.00</w:t>
            </w:r>
          </w:p>
        </w:tc>
      </w:tr>
      <w:tr>
        <w:tc>
          <w:tcPr>
            <w:tcW w:w="38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Compliance stack add-ons – 10 endpoints (see 8.2)</w:t>
            </w:r>
          </w:p>
        </w:tc>
        <w:tc>
          <w:tcPr>
            <w:tcW w:w="144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$0.00</w:t>
            </w:r>
          </w:p>
        </w:tc>
        <w:tc>
          <w:tcPr>
            <w:tcW w:w="144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$1,131.00</w:t>
            </w:r>
          </w:p>
        </w:tc>
        <w:tc>
          <w:tcPr>
            <w:tcW w:w="168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+$1,131.00</w:t>
            </w:r>
          </w:p>
        </w:tc>
      </w:tr>
      <w:tr>
        <w:tc>
          <w:tcPr>
            <w:tcW w:w="38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All-user services – 31 users (V365 + PHT, unchanged)</w:t>
            </w:r>
          </w:p>
        </w:tc>
        <w:tc>
          <w:tcPr>
            <w:tcW w:w="144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$310.00</w:t>
            </w:r>
          </w:p>
        </w:tc>
        <w:tc>
          <w:tcPr>
            <w:tcW w:w="144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$310.00</w:t>
            </w:r>
          </w:p>
        </w:tc>
        <w:tc>
          <w:tcPr>
            <w:tcW w:w="168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$0.00</w:t>
            </w:r>
          </w:p>
        </w:tc>
      </w:tr>
      <w:tr>
        <w:tc>
          <w:tcPr>
            <w:tcW w:w="38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Domain / DKIM / RTPT (unchanged)</w:t>
            </w:r>
          </w:p>
        </w:tc>
        <w:tc>
          <w:tcPr>
            <w:tcW w:w="144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$62.00</w:t>
            </w:r>
          </w:p>
        </w:tc>
        <w:tc>
          <w:tcPr>
            <w:tcW w:w="144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$62.00</w:t>
            </w:r>
          </w:p>
        </w:tc>
        <w:tc>
          <w:tcPr>
            <w:tcW w:w="168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$0.00</w:t>
            </w:r>
          </w:p>
        </w:tc>
      </w:tr>
      <w:tr>
        <w:tc>
          <w:tcPr>
            <w:tcW w:w="38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Site Assessment – 1 site (unchanged)</w:t>
            </w:r>
          </w:p>
        </w:tc>
        <w:tc>
          <w:tcPr>
            <w:tcW w:w="144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$50.00</w:t>
            </w:r>
          </w:p>
        </w:tc>
        <w:tc>
          <w:tcPr>
            <w:tcW w:w="144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$50.00</w:t>
            </w:r>
          </w:p>
        </w:tc>
        <w:tc>
          <w:tcPr>
            <w:tcW w:w="168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$0.00</w:t>
            </w:r>
          </w:p>
        </w:tc>
      </w:tr>
      <w:tr>
        <w:tc>
          <w:tcPr>
            <w:tcW w:w="38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Virtual Staff Support (unchanged)</w:t>
            </w:r>
          </w:p>
        </w:tc>
        <w:tc>
          <w:tcPr>
            <w:tcW w:w="144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$1,948.50</w:t>
            </w:r>
          </w:p>
        </w:tc>
        <w:tc>
          <w:tcPr>
            <w:tcW w:w="144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$1,948.50</w:t>
            </w:r>
          </w:p>
        </w:tc>
        <w:tc>
          <w:tcPr>
            <w:tcW w:w="168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$0.00</w:t>
            </w:r>
          </w:p>
        </w:tc>
      </w:tr>
      <w:tr>
        <w:tc>
          <w:tcPr>
            <w:tcW w:w="38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TOTAL MONTHLY</w:t>
            </w:r>
          </w:p>
        </w:tc>
        <w:tc>
          <w:tcPr>
            <w:tcW w:w="144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$2,794.50</w:t>
            </w:r>
          </w:p>
        </w:tc>
        <w:tc>
          <w:tcPr>
            <w:tcW w:w="144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$3,764.50</w:t>
            </w:r>
          </w:p>
        </w:tc>
        <w:tc>
          <w:tcPr>
            <w:tcW w:w="168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+$970.00</w:t>
            </w:r>
          </w:p>
        </w:tc>
      </w:tr>
    </w:tbl>
    <w:p/>
    <w:p>
      <w:pPr>
        <w:pStyle w:val="Heading2"/>
      </w:pPr>
      <w:r>
        <w:rPr>
          <w:rFonts w:ascii="Open Sans" w:hAnsi="Open Sans" w:cs="Open Sans" w:eastAsia="Open Sans"/>
          <w:color w:val="59595B"/>
          <w:sz w:val="22"/>
          <w:szCs w:val="22"/>
        </w:rPr>
        <w:t xml:space="preserve">8.2 Compliance Stack Add-Ons Detail (NEW – 10 endpoints)</w:t>
      </w:r>
    </w:p>
    <w:tbl>
      <w:tblPr>
        <w:tblW w:w="8360" w:type="dxa"/>
      </w:tblPr>
      <w:tblGrid>
        <w:gridCol w:w="3200"/>
        <w:gridCol w:w="1200"/>
        <w:gridCol w:w="640"/>
        <w:gridCol w:w="1440"/>
        <w:gridCol w:w="1880"/>
      </w:tblGrid>
      <w:tr>
        <w:tc>
          <w:tcPr>
            <w:tcW w:w="320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Service</w:t>
            </w:r>
          </w:p>
        </w:tc>
        <w:tc>
          <w:tcPr>
            <w:tcW w:w="120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Code</w:t>
            </w:r>
          </w:p>
        </w:tc>
        <w:tc>
          <w:tcPr>
            <w:tcW w:w="64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Qty</w:t>
            </w:r>
          </w:p>
        </w:tc>
        <w:tc>
          <w:tcPr>
            <w:tcW w:w="144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Unit Price</w:t>
            </w:r>
          </w:p>
        </w:tc>
        <w:tc>
          <w:tcPr>
            <w:tcW w:w="1880" w:type="dxa"/>
            <w:tcBorders>
              <w:top w:val="single" w:color="DDDDDD" w:sz="1"/>
              <w:left w:val="single" w:color="DDDDDD" w:sz="1"/>
              <w:bottom w:val="single" w:color="DDDDDD" w:sz="1"/>
              <w:right w:val="single" w:color="DDDDDD" w:sz="1"/>
            </w:tcBorders>
            <w:shd w:val="clear" w:color="auto" w:fill="006DB6"/>
            <w:tcMar>
              <w:top w:w="80" w:type="dxa"/>
              <w:left w:w="120" w:type="dxa"/>
              <w:bottom w:w="80" w:type="dxa"/>
              <w:right w:w="120" w:type="dxa"/>
            </w:tcMar>
            <w:vAlign w:val="center"/>
          </w:tcPr>
          <w:p>
            <w:pPr>
              <w:spacing w:before="60" w:after="60"/>
            </w:pPr>
            <w:r>
              <w:rPr>
                <w:rFonts w:ascii="Open Sans" w:hAnsi="Open Sans" w:cs="Open Sans" w:eastAsia="Open Sans"/>
                <w:b/>
                <w:bCs/>
                <w:color w:val="FFFFFF"/>
                <w:sz w:val="20"/>
                <w:szCs w:val="20"/>
              </w:rPr>
              <w:t xml:space="preserve">Monthly</w:t>
            </w:r>
          </w:p>
        </w:tc>
      </w:tr>
      <w:tr>
        <w:tc>
          <w:tcPr>
            <w:tcW w:w="32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MyAudit UAM+DLP / 1-Year</w:t>
            </w:r>
          </w:p>
        </w:tc>
        <w:tc>
          <w:tcPr>
            <w:tcW w:w="12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AMDLP1Y</w:t>
            </w:r>
          </w:p>
        </w:tc>
        <w:tc>
          <w:tcPr>
            <w:tcW w:w="64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10</w:t>
            </w:r>
          </w:p>
        </w:tc>
        <w:tc>
          <w:tcPr>
            <w:tcW w:w="144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$108.10</w:t>
            </w:r>
          </w:p>
        </w:tc>
        <w:tc>
          <w:tcPr>
            <w:tcW w:w="188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$1,081.00</w:t>
            </w:r>
          </w:p>
        </w:tc>
      </w:tr>
      <w:tr>
        <w:tc>
          <w:tcPr>
            <w:tcW w:w="32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Site Assessment (Network Detective)</w:t>
            </w:r>
          </w:p>
        </w:tc>
        <w:tc>
          <w:tcPr>
            <w:tcW w:w="120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SA</w:t>
            </w:r>
          </w:p>
        </w:tc>
        <w:tc>
          <w:tcPr>
            <w:tcW w:w="64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1 site</w:t>
            </w:r>
          </w:p>
        </w:tc>
        <w:tc>
          <w:tcPr>
            <w:tcW w:w="144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$50.00</w:t>
            </w:r>
          </w:p>
        </w:tc>
        <w:tc>
          <w:tcPr>
            <w:tcW w:w="1880" w:type="dxa"/>
            <w:tcBorders>
              <w:top w:val="single" w:color="DDDDDD" w:sz="1"/>
              <w:left w:val="single" w:color="DDDDDD" w:sz="1"/>
              <w:bottom w:val="single" w:color="DDDDDD" w:sz="1"/>
              <w:right w:val="single" w:color="DDDDDD" w:sz="1"/>
            </w:tcBorders>
            <w:shd w:val="clear" w:color="auto" w:fill="F8F9FA"/>
            <w:tcMar>
              <w:top w:w="80" w:type="dxa"/>
              <w:left w:w="120" w:type="dxa"/>
              <w:bottom w:w="80" w:type="dxa"/>
              <w:right w:w="120" w:type="dxa"/>
            </w:tcMar>
            <w:vAlign w:val="center"/>
          </w:tcPr>
          <w:p>
            <w:pPr>
              <w:spacing w:before="60" w:after="60"/>
            </w:pPr>
            <w:r>
              <w:rPr>
                <w:rFonts w:ascii="Open Sans" w:hAnsi="Open Sans" w:cs="Open Sans" w:eastAsia="Open Sans"/>
                <w:color w:val="59595B"/>
                <w:sz w:val="20"/>
                <w:szCs w:val="20"/>
              </w:rPr>
              <w:t xml:space="preserve">$50.00</w:t>
            </w:r>
          </w:p>
        </w:tc>
      </w:tr>
      <w:tr>
        <w:tc>
          <w:tcPr>
            <w:tcW w:w="320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Subtotal</w:t>
            </w:r>
          </w:p>
        </w:tc>
        <w:tc>
          <w:tcPr>
            <w:tcW w:w="120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
            </w:r>
          </w:p>
        </w:tc>
        <w:tc>
          <w:tcPr>
            <w:tcW w:w="64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
            </w:r>
          </w:p>
        </w:tc>
        <w:tc>
          <w:tcPr>
            <w:tcW w:w="144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
            </w:r>
          </w:p>
        </w:tc>
        <w:tc>
          <w:tcPr>
            <w:tcW w:w="1880" w:type="dxa"/>
            <w:tcBorders>
              <w:top w:val="single" w:color="DDDDDD" w:sz="1"/>
              <w:left w:val="single" w:color="DDDDDD" w:sz="1"/>
              <w:bottom w:val="single" w:color="DDDDDD" w:sz="1"/>
              <w:right w:val="single" w:color="DDDDDD" w:sz="1"/>
            </w:tcBorders>
            <w:shd w:val="clear" w:color="auto" w:fill="E8EFF5"/>
            <w:tcMar>
              <w:top w:w="80" w:type="dxa"/>
              <w:left w:w="120" w:type="dxa"/>
              <w:bottom w:w="80" w:type="dxa"/>
              <w:right w:w="120" w:type="dxa"/>
            </w:tcMar>
            <w:vAlign w:val="center"/>
          </w:tcPr>
          <w:p>
            <w:pPr>
              <w:spacing w:before="60" w:after="60"/>
            </w:pPr>
            <w:r>
              <w:rPr>
                <w:rFonts w:ascii="Open Sans" w:hAnsi="Open Sans" w:cs="Open Sans" w:eastAsia="Open Sans"/>
                <w:b/>
                <w:bCs/>
                <w:color w:val="59595B"/>
                <w:sz w:val="20"/>
                <w:szCs w:val="20"/>
              </w:rPr>
              <w:t xml:space="preserve">$1,131.00</w:t>
            </w:r>
          </w:p>
        </w:tc>
      </w:tr>
    </w:tbl>
    <w:p/>
    <w:p>
      <w:pPr>
        <w:spacing w:before="0" w:after="120"/>
      </w:pPr>
      <w:r>
        <w:rPr>
          <w:rFonts w:ascii="Open Sans" w:hAnsi="Open Sans" w:cs="Open Sans" w:eastAsia="Open Sans"/>
          <w:color w:val="59595B"/>
          <w:sz w:val="22"/>
          <w:szCs w:val="22"/>
        </w:rPr>
        <w:t xml:space="preserve">Notes: (1) SSO/2FA Gateway product removed — Azure Entra ID SSO (included in M365 E3) provides identity federation and MFA natively. (2) CloudBrink ZTNA subscription is AFFG-procured; $80/mo shown above is the Technijian-billed component only. (3) Cisco Umbrella (SI) removed from security stack; CloudBrink ZTNA provides DNS filtering, zero-trust egress, and replaces the former VDI egress IP. (4) Mac Mini devices use PMMAC ($11.00/device) in place of PMW ($4.00/device).</w:t>
      </w:r>
    </w:p>
    <w:p>
      <w:pPr>
        <w:pStyle w:val="Heading1"/>
      </w:pPr>
      <w:r>
        <w:rPr>
          <w:rFonts w:ascii="Open Sans" w:hAnsi="Open Sans" w:cs="Open Sans" w:eastAsia="Open Sans"/>
          <w:color w:val="59595B"/>
          <w:sz w:val="22"/>
          <w:szCs w:val="22"/>
        </w:rPr>
        <w:t xml:space="preserve">9. CHANGE MANAGEMENT</w:t>
      </w:r>
    </w:p>
    <w:p>
      <w:pPr>
        <w:spacing w:before="40" w:after="40"/>
      </w:pPr>
      <w:r>
        <w:rPr>
          <w:rFonts w:ascii="Open Sans" w:hAnsi="Open Sans" w:cs="Open Sans" w:eastAsia="Open Sans"/>
          <w:b/>
          <w:bCs/>
          <w:color w:val="1A1A2E"/>
          <w:sz w:val="22"/>
          <w:szCs w:val="22"/>
        </w:rPr>
        <w:t xml:space="preserve">9.01.  </w:t>
      </w:r>
      <w:r>
        <w:rPr>
          <w:rFonts w:ascii="Open Sans" w:hAnsi="Open Sans" w:cs="Open Sans" w:eastAsia="Open Sans"/>
          <w:color w:val="59595B"/>
          <w:sz w:val="22"/>
          <w:szCs w:val="22"/>
        </w:rPr>
        <w:t xml:space="preserve">Any changes to the scope, schedule, or pricing of this SOW must be documented in a written Change Order signed by both Parties before work on the change begins.</w:t>
      </w:r>
    </w:p>
    <w:p>
      <w:pPr>
        <w:spacing w:before="40" w:after="40"/>
      </w:pPr>
      <w:r>
        <w:rPr>
          <w:rFonts w:ascii="Open Sans" w:hAnsi="Open Sans" w:cs="Open Sans" w:eastAsia="Open Sans"/>
          <w:b/>
          <w:bCs/>
          <w:color w:val="1A1A2E"/>
          <w:sz w:val="22"/>
          <w:szCs w:val="22"/>
        </w:rPr>
        <w:t xml:space="preserve">9.02.  </w:t>
      </w:r>
      <w:r>
        <w:rPr>
          <w:rFonts w:ascii="Open Sans" w:hAnsi="Open Sans" w:cs="Open Sans" w:eastAsia="Open Sans"/>
          <w:color w:val="59595B"/>
          <w:sz w:val="22"/>
          <w:szCs w:val="22"/>
        </w:rPr>
        <w:t xml:space="preserve">If Client requests work outside the defined scope, Technijian shall provide a Change Order detailing the additional work, estimated hours, and cost impact.</w:t>
      </w:r>
    </w:p>
    <w:p>
      <w:pPr>
        <w:spacing w:before="40" w:after="40"/>
      </w:pPr>
      <w:r>
        <w:rPr>
          <w:rFonts w:ascii="Open Sans" w:hAnsi="Open Sans" w:cs="Open Sans" w:eastAsia="Open Sans"/>
          <w:b/>
          <w:bCs/>
          <w:color w:val="1A1A2E"/>
          <w:sz w:val="22"/>
          <w:szCs w:val="22"/>
        </w:rPr>
        <w:t xml:space="preserve">9.03.  </w:t>
      </w:r>
      <w:r>
        <w:rPr>
          <w:rFonts w:ascii="Open Sans" w:hAnsi="Open Sans" w:cs="Open Sans" w:eastAsia="Open Sans"/>
          <w:color w:val="59595B"/>
          <w:sz w:val="22"/>
          <w:szCs w:val="22"/>
        </w:rPr>
        <w:t xml:space="preserve">Technijian shall not proceed with out-of-scope work without an approved Change Order, except in cases where delay would result in harm to Client’s systems.</w:t>
      </w:r>
    </w:p>
    <w:p>
      <w:pPr>
        <w:pStyle w:val="Heading1"/>
      </w:pPr>
      <w:r>
        <w:rPr>
          <w:rFonts w:ascii="Open Sans" w:hAnsi="Open Sans" w:cs="Open Sans" w:eastAsia="Open Sans"/>
          <w:color w:val="59595B"/>
          <w:sz w:val="22"/>
          <w:szCs w:val="22"/>
        </w:rPr>
        <w:t xml:space="preserve">10. ACCEPTANCE</w:t>
      </w:r>
    </w:p>
    <w:p>
      <w:pPr>
        <w:spacing w:before="40" w:after="40"/>
      </w:pPr>
      <w:r>
        <w:rPr>
          <w:rFonts w:ascii="Open Sans" w:hAnsi="Open Sans" w:cs="Open Sans" w:eastAsia="Open Sans"/>
          <w:b/>
          <w:bCs/>
          <w:color w:val="1A1A2E"/>
          <w:sz w:val="22"/>
          <w:szCs w:val="22"/>
        </w:rPr>
        <w:t xml:space="preserve">10.01.  </w:t>
      </w:r>
      <w:r>
        <w:rPr>
          <w:rFonts w:ascii="Open Sans" w:hAnsi="Open Sans" w:cs="Open Sans" w:eastAsia="Open Sans"/>
          <w:color w:val="59595B"/>
          <w:sz w:val="22"/>
          <w:szCs w:val="22"/>
        </w:rPr>
        <w:t xml:space="preserve">Upon completion of each phase, Technijian shall notify Client in writing that the deliverables are ready for review.</w:t>
      </w:r>
    </w:p>
    <w:p>
      <w:pPr>
        <w:spacing w:before="40" w:after="40"/>
      </w:pPr>
      <w:r>
        <w:rPr>
          <w:rFonts w:ascii="Open Sans" w:hAnsi="Open Sans" w:cs="Open Sans" w:eastAsia="Open Sans"/>
          <w:b/>
          <w:bCs/>
          <w:color w:val="1A1A2E"/>
          <w:sz w:val="22"/>
          <w:szCs w:val="22"/>
        </w:rPr>
        <w:t xml:space="preserve">10.02.  </w:t>
      </w:r>
      <w:r>
        <w:rPr>
          <w:rFonts w:ascii="Open Sans" w:hAnsi="Open Sans" w:cs="Open Sans" w:eastAsia="Open Sans"/>
          <w:color w:val="59595B"/>
          <w:sz w:val="22"/>
          <w:szCs w:val="22"/>
        </w:rPr>
        <w:t xml:space="preserve">Client shall review the deliverables and provide written acceptance or a detailed description of deficiencies within five (5) business days.</w:t>
      </w:r>
    </w:p>
    <w:p>
      <w:pPr>
        <w:spacing w:before="40" w:after="40"/>
      </w:pPr>
      <w:r>
        <w:rPr>
          <w:rFonts w:ascii="Open Sans" w:hAnsi="Open Sans" w:cs="Open Sans" w:eastAsia="Open Sans"/>
          <w:b/>
          <w:bCs/>
          <w:color w:val="1A1A2E"/>
          <w:sz w:val="22"/>
          <w:szCs w:val="22"/>
        </w:rPr>
        <w:t xml:space="preserve">10.03.  </w:t>
      </w:r>
      <w:r>
        <w:rPr>
          <w:rFonts w:ascii="Open Sans" w:hAnsi="Open Sans" w:cs="Open Sans" w:eastAsia="Open Sans"/>
          <w:color w:val="59595B"/>
          <w:sz w:val="22"/>
          <w:szCs w:val="22"/>
        </w:rPr>
        <w:t xml:space="preserve">If Client does not respond within the review period, the deliverables shall be deemed accepted.</w:t>
      </w:r>
    </w:p>
    <w:p>
      <w:pPr>
        <w:spacing w:before="40" w:after="40"/>
      </w:pPr>
      <w:r>
        <w:rPr>
          <w:rFonts w:ascii="Open Sans" w:hAnsi="Open Sans" w:cs="Open Sans" w:eastAsia="Open Sans"/>
          <w:b/>
          <w:bCs/>
          <w:color w:val="1A1A2E"/>
          <w:sz w:val="22"/>
          <w:szCs w:val="22"/>
        </w:rPr>
        <w:t xml:space="preserve">10.04.  </w:t>
      </w:r>
      <w:r>
        <w:rPr>
          <w:rFonts w:ascii="Open Sans" w:hAnsi="Open Sans" w:cs="Open Sans" w:eastAsia="Open Sans"/>
          <w:color w:val="59595B"/>
          <w:sz w:val="22"/>
          <w:szCs w:val="22"/>
        </w:rPr>
        <w:t xml:space="preserve">If deficiencies are identified, Technijian shall correct them and resubmit for review. This process shall repeat until acceptance is achieved.</w:t>
      </w:r>
    </w:p>
    <w:p>
      <w:pPr>
        <w:pStyle w:val="Heading1"/>
      </w:pPr>
      <w:r>
        <w:rPr>
          <w:rFonts w:ascii="Open Sans" w:hAnsi="Open Sans" w:cs="Open Sans" w:eastAsia="Open Sans"/>
          <w:color w:val="59595B"/>
          <w:sz w:val="22"/>
          <w:szCs w:val="22"/>
        </w:rPr>
        <w:t xml:space="preserve">11. GOVERNING TERMS</w:t>
      </w:r>
    </w:p>
    <w:p>
      <w:pPr>
        <w:spacing w:before="40" w:after="40"/>
      </w:pPr>
      <w:r>
        <w:rPr>
          <w:rFonts w:ascii="Open Sans" w:hAnsi="Open Sans" w:cs="Open Sans" w:eastAsia="Open Sans"/>
          <w:b/>
          <w:bCs/>
          <w:color w:val="1A1A2E"/>
          <w:sz w:val="22"/>
          <w:szCs w:val="22"/>
        </w:rPr>
        <w:t xml:space="preserve">11.01.  </w:t>
      </w:r>
      <w:r>
        <w:rPr>
          <w:rFonts w:ascii="Open Sans" w:hAnsi="Open Sans" w:cs="Open Sans" w:eastAsia="Open Sans"/>
          <w:color w:val="59595B"/>
          <w:sz w:val="22"/>
          <w:szCs w:val="22"/>
        </w:rPr>
        <w:t xml:space="preserve">This SOW is governed by the Master Service Agreement MSA-AFFG-2026 between the Parties. In the event of a conflict between this SOW and the MSA, the MSA shall prevail unless this SOW expressly states otherwise.</w:t>
      </w:r>
    </w:p>
    <w:p>
      <w:pPr>
        <w:pStyle w:val="Heading1"/>
      </w:pPr>
      <w:r>
        <w:rPr>
          <w:rFonts w:ascii="Open Sans" w:hAnsi="Open Sans" w:cs="Open Sans" w:eastAsia="Open Sans"/>
          <w:color w:val="59595B"/>
          <w:sz w:val="22"/>
          <w:szCs w:val="22"/>
        </w:rPr>
        <w:t xml:space="preserve">SIGNATURES</w:t>
      </w:r>
    </w:p>
    <w:p>
      <w:pPr>
        <w:spacing w:before="120" w:after="0"/>
      </w:pPr>
      <w:r>
        <w:rPr>
          <w:rFonts w:ascii="Open Sans" w:hAnsi="Open Sans" w:cs="Open Sans" w:eastAsia="Open Sans"/>
          <w:b/>
          <w:bCs/>
          <w:color w:val="1A1A2E"/>
          <w:sz w:val="22"/>
          <w:szCs w:val="22"/>
        </w:rPr>
        <w:t xml:space="preserve">TECHNIJIAN, INC.</w:t>
      </w:r>
    </w:p>
    <w:p>
      <w:pPr>
        <w:spacing w:before="240" w:after="0"/>
      </w:pPr>
      <w:r>
        <w:rPr>
          <w:rFonts w:ascii="Open Sans" w:hAnsi="Open Sans" w:cs="Open Sans" w:eastAsia="Open Sans"/>
          <w:color w:val="59595B"/>
          <w:sz w:val="22"/>
          <w:szCs w:val="22"/>
        </w:rPr>
        <w:t xml:space="preserve">By: ___________________________________</w:t>
      </w:r>
    </w:p>
    <w:p>
      <w:pPr>
        <w:spacing w:before="240" w:after="0"/>
      </w:pPr>
      <w:r>
        <w:rPr>
          <w:rFonts w:ascii="Open Sans" w:hAnsi="Open Sans" w:cs="Open Sans" w:eastAsia="Open Sans"/>
          <w:color w:val="59595B"/>
          <w:sz w:val="22"/>
          <w:szCs w:val="22"/>
        </w:rPr>
        <w:t xml:space="preserve">Name: _________________________________</w:t>
      </w:r>
    </w:p>
    <w:p>
      <w:pPr>
        <w:spacing w:before="240" w:after="0"/>
      </w:pPr>
      <w:r>
        <w:rPr>
          <w:rFonts w:ascii="Open Sans" w:hAnsi="Open Sans" w:cs="Open Sans" w:eastAsia="Open Sans"/>
          <w:color w:val="59595B"/>
          <w:sz w:val="22"/>
          <w:szCs w:val="22"/>
        </w:rPr>
        <w:t xml:space="preserve">Title: _________________________________</w:t>
      </w:r>
    </w:p>
    <w:p>
      <w:pPr>
        <w:spacing w:before="240" w:after="0"/>
      </w:pPr>
      <w:r>
        <w:rPr>
          <w:rFonts w:ascii="Open Sans" w:hAnsi="Open Sans" w:cs="Open Sans" w:eastAsia="Open Sans"/>
          <w:color w:val="59595B"/>
          <w:sz w:val="22"/>
          <w:szCs w:val="22"/>
        </w:rPr>
        <w:t xml:space="preserve">Date: _________________________________</w:t>
      </w:r>
    </w:p>
    <w:p/>
    <w:p>
      <w:pPr>
        <w:spacing w:before="120" w:after="0"/>
      </w:pPr>
      <w:r>
        <w:rPr>
          <w:rFonts w:ascii="Open Sans" w:hAnsi="Open Sans" w:cs="Open Sans" w:eastAsia="Open Sans"/>
          <w:b/>
          <w:bCs/>
          <w:color w:val="1A1A2E"/>
          <w:sz w:val="22"/>
          <w:szCs w:val="22"/>
        </w:rPr>
        <w:t xml:space="preserve">AMERICAN FUNDSTARS FINANCIAL GROUP LLC</w:t>
      </w:r>
    </w:p>
    <w:p>
      <w:pPr>
        <w:spacing w:before="240" w:after="0"/>
      </w:pPr>
      <w:r>
        <w:rPr>
          <w:rFonts w:ascii="Open Sans" w:hAnsi="Open Sans" w:cs="Open Sans" w:eastAsia="Open Sans"/>
          <w:color w:val="59595B"/>
          <w:sz w:val="22"/>
          <w:szCs w:val="22"/>
        </w:rPr>
        <w:t xml:space="preserve">By: ___________________________________</w:t>
      </w:r>
    </w:p>
    <w:p>
      <w:pPr>
        <w:spacing w:before="240" w:after="0"/>
      </w:pPr>
      <w:r>
        <w:rPr>
          <w:rFonts w:ascii="Open Sans" w:hAnsi="Open Sans" w:cs="Open Sans" w:eastAsia="Open Sans"/>
          <w:color w:val="59595B"/>
          <w:sz w:val="22"/>
          <w:szCs w:val="22"/>
        </w:rPr>
        <w:t xml:space="preserve">Name: _________________________________</w:t>
      </w:r>
    </w:p>
    <w:p>
      <w:pPr>
        <w:spacing w:before="240" w:after="0"/>
      </w:pPr>
      <w:r>
        <w:rPr>
          <w:rFonts w:ascii="Open Sans" w:hAnsi="Open Sans" w:cs="Open Sans" w:eastAsia="Open Sans"/>
          <w:color w:val="59595B"/>
          <w:sz w:val="22"/>
          <w:szCs w:val="22"/>
        </w:rPr>
        <w:t xml:space="preserve">Title: _________________________________</w:t>
      </w:r>
    </w:p>
    <w:p>
      <w:pPr>
        <w:spacing w:before="240" w:after="0"/>
      </w:pPr>
      <w:r>
        <w:rPr>
          <w:rFonts w:ascii="Open Sans" w:hAnsi="Open Sans" w:cs="Open Sans" w:eastAsia="Open Sans"/>
          <w:color w:val="59595B"/>
          <w:sz w:val="22"/>
          <w:szCs w:val="22"/>
        </w:rPr>
        <w:t xml:space="preserve">Date: 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Open Sans" w:cs="Open Sans" w:eastAsia="Open Sans" w:hAnsi="Open Sans"/>
      <w:b/>
      <w:bCs/>
      <w:color w:val="006DB6"/>
      <w:sz w:val="36"/>
      <w:szCs w:val="36"/>
    </w:rPr>
  </w:style>
  <w:style w:type="paragraph" w:styleId="Heading2">
    <w:name w:val="Heading 2"/>
    <w:basedOn w:val="Normal"/>
    <w:next w:val="Normal"/>
    <w:qFormat/>
    <w:pPr>
      <w:spacing w:after="160" w:before="280"/>
      <w:outlineLvl w:val="1"/>
    </w:pPr>
    <w:rPr>
      <w:rFonts w:ascii="Open Sans" w:cs="Open Sans" w:eastAsia="Open Sans" w:hAnsi="Open Sans"/>
      <w:b/>
      <w:bCs/>
      <w:color w:val="1A1A2E"/>
      <w:sz w:val="28"/>
      <w:szCs w:val="28"/>
    </w:rPr>
  </w:style>
  <w:style w:type="paragraph" w:styleId="Heading3">
    <w:name w:val="Heading 3"/>
    <w:basedOn w:val="Normal"/>
    <w:next w:val="Normal"/>
    <w:qFormat/>
    <w:pPr>
      <w:spacing w:after="120" w:before="200"/>
      <w:outlineLvl w:val="2"/>
    </w:pPr>
    <w:rPr>
      <w:rFonts w:ascii="Open Sans" w:cs="Open Sans" w:eastAsia="Open Sans" w:hAnsi="Open Sans"/>
      <w:b/>
      <w:bCs/>
      <w:color w:val="1A1A2E"/>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7ab963d63198c507d4d2f60f27ab9adb7b80fb.jp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2026-04-16T19:58:48.420Z</dcterms:created>
  <dcterms:modified xsi:type="dcterms:W3CDTF">2026-04-16T19:58:48.422Z</dcterms:modified>
</cp:coreProperties>
</file>

<file path=docProps/custom.xml><?xml version="1.0" encoding="utf-8"?>
<Properties xmlns="http://schemas.openxmlformats.org/officeDocument/2006/custom-properties" xmlns:vt="http://schemas.openxmlformats.org/officeDocument/2006/docPropsVTypes"/>
</file>