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Open Sans" w:cs="Open Sans" w:eastAsia="Open Sans" w:hAnsi="Open Sans"/>
          <w:b/>
          <w:bCs/>
          <w:color w:val="006DB6"/>
          <w:sz w:val="36"/>
          <w:szCs w:val="36"/>
        </w:rPr>
        <w:t xml:space="preserve">Autonomous Lead Generation</w:t>
      </w:r>
    </w:p>
    <w:p>
      <w:pPr>
        <w:spacing w:after="20"/>
      </w:pPr>
      <w:r>
        <w:rPr>
          <w:rFonts w:ascii="Open Sans" w:cs="Open Sans" w:eastAsia="Open Sans" w:hAnsi="Open Sans"/>
          <w:b/>
          <w:bCs/>
          <w:color w:val="006DB6"/>
          <w:sz w:val="36"/>
          <w:szCs w:val="36"/>
        </w:rPr>
        <w:t xml:space="preserve">System Specification</w:t>
      </w:r>
    </w:p>
    <w:p>
      <w:pPr>
        <w:spacing w:after="6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Burkhart Brothers Construction  |  Orange County, California</w:t>
      </w:r>
    </w:p>
    <w:p>
      <w:pPr>
        <w:spacing w:after="160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March 2026  |  Confidential  |  v1.0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67D4B" w:sz="4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90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Total Hours</w:t>
            </w:r>
          </w:p>
        </w:tc>
        <w:tc>
          <w:tcPr>
            <w:tcW w:type="dxa" w:w="2520"/>
            <w:tcBorders>
              <w:top w:val="single" w:color="F67D4B" w:sz="4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10+80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Alpha + Build</w:t>
            </w:r>
          </w:p>
        </w:tc>
        <w:tc>
          <w:tcPr>
            <w:tcW w:type="dxa" w:w="2520"/>
            <w:tcBorders>
              <w:top w:val="single" w:color="F67D4B" w:sz="4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Hours Completed</w:t>
            </w:r>
          </w:p>
        </w:tc>
        <w:tc>
          <w:tcPr>
            <w:tcW w:type="dxa" w:w="2520"/>
            <w:tcBorders>
              <w:top w:val="single" w:color="F67D4B" w:sz="4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Weekly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Report Delivery</w:t>
            </w:r>
          </w:p>
        </w:tc>
      </w:tr>
    </w:tbl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6"/>
                <w:szCs w:val="26"/>
              </w:rPr>
              <w:t xml:space="preserve">Engagement Structure</w:t>
            </w:r>
          </w:p>
        </w:tc>
      </w:tr>
    </w:tbl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This project is structured in two phases: a 10-hour Alpha feasibility phase to validate the approach, followed by an 80-hour implementation phase to build the complete autonomous system.</w:t>
      </w:r>
    </w:p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800"/>
        <w:gridCol w:w="2280"/>
      </w:tblGrid>
      <w:tr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Alpha</w:t>
            </w:r>
          </w:p>
        </w:tc>
        <w:tc>
          <w:tcPr>
            <w:tcW w:type="dxa" w:w="4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Feasibility &amp; validation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CTO</w:t>
            </w:r>
          </w:p>
        </w:tc>
        <w:tc>
          <w:tcPr>
            <w:tcW w:type="dxa" w:w="2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Build</w:t>
            </w:r>
          </w:p>
        </w:tc>
        <w:tc>
          <w:tcPr>
            <w:tcW w:type="dxa" w:w="4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Full system implementation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CTO</w:t>
            </w:r>
          </w:p>
        </w:tc>
        <w:tc>
          <w:tcPr>
            <w:tcW w:type="dxa" w:w="2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Build</w:t>
            </w:r>
          </w:p>
        </w:tc>
        <w:tc>
          <w:tcPr>
            <w:tcW w:type="dxa" w:w="4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Full system implementation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2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70</w:t>
            </w:r>
          </w:p>
        </w:tc>
      </w:tr>
    </w:tbl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67D4B" w:sz="2"/>
              <w:left w:val="single" w:color="F67D4B" w:sz="6"/>
              <w:bottom w:val="single" w:color="F67D4B" w:sz="2"/>
              <w:right w:val="single" w:color="F67D4B" w:sz="2"/>
            </w:tcBorders>
            <w:shd w:fill="FE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16 hours of foundational work have already been completed—9 city permit scrapers are live and operational, along with the client-fit scoring engine and OC Assessor API integration. This prior investment accelerates the remaining build.</w:t>
            </w:r>
          </w:p>
        </w:tc>
      </w:tr>
    </w:tbl>
    <w:p>
      <w:pPr>
        <w:spacing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F67D4B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6"/>
                <w:szCs w:val="26"/>
              </w:rPr>
              <w:t xml:space="preserve">Alpha Phase — Feasibility &amp; Validation (10 hrs CTO)</w:t>
            </w:r>
          </w:p>
        </w:tc>
      </w:tr>
    </w:tbl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Before committing to the full build, we validate that every data source is accessible, every scraping approach is viable, and the architecture will support autonomous weekly operation. This phase produces a go/no-go recommendation with a validated technical approach.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80"/>
        <w:gridCol w:w="1800"/>
      </w:tblGrid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67D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67D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67D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Scraper Connectivity Audit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Test all 9 live scrapers end-to-end. Verify login flows (Tyler SSO, eTRAKiT, Newport Beach 2FA), confirm data shape hasn’t changed, identify any portal updates that need adaptation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DRB Source Validation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Access Laguna Beach Granicus, confirm agenda format, test PDF staff report downloads, verify plan set links resolve. Test Legistar API for Newport Beach. Confirm data is extractable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Just-Sold Feasibility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Test Zillow/Redfin/Realtor.com scraping in target HOA areas. Validate buyer agent data is accessible (not hidden behind auth). Assess anti-bot measures and rate limits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Contact Enrichment Test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Validate Spokeo automation (login, search by name, extract results). Test Apollo.io API for architect lookups. Confirm enrichment data quality meets expectations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Architecture &amp; Pipeline Design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Design orchestrator architecture, data schema, dedup strategy, error recovery approach. Define the unified lead record format that all sources feed into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Alpha Report &amp; Recommendation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Deliver written findings: what works, what needs workarounds, any blockers identified. Go/no-go recommendation with adjusted estimates if scope changed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80"/>
        <w:gridCol w:w="1800"/>
      </w:tblGrid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67D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Alpha</w:t>
            </w:r>
          </w:p>
        </w:tc>
        <w:tc>
          <w:tcPr>
            <w:tcW w:type="dxa" w:w="7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Feasibility &amp; Validation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10 hrs CTO</w:t>
            </w:r>
          </w:p>
        </w:tc>
      </w:tr>
    </w:tbl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67D4B" w:sz="2"/>
              <w:left w:val="single" w:color="F67D4B" w:sz="6"/>
              <w:bottom w:val="single" w:color="F67D4B" w:sz="2"/>
              <w:right w:val="single" w:color="F67D4B" w:sz="2"/>
            </w:tcBorders>
            <w:shd w:fill="FE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Alpha Deliverable: Written feasibility report with go/no-go recommendation, validated data source access, confirmed architecture approach, and refined estimates for the implementation phase. If blockers are discovered, we identify workarounds or adjust scope before committing development resources.</w:t>
            </w:r>
          </w:p>
        </w:tc>
      </w:tr>
    </w:tbl>
    <w:p>
      <w:pPr>
        <w:spacing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6"/>
                <w:szCs w:val="26"/>
              </w:rPr>
              <w:t xml:space="preserve">System Architecture</w:t>
            </w:r>
          </w:p>
        </w:tc>
      </w:tr>
    </w:tbl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The production system is organized into four tiers that execute sequentially on each automated run: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5080"/>
      </w:tblGrid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5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1. Collection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Scrape raw data from all sources</w:t>
            </w:r>
          </w:p>
        </w:tc>
        <w:tc>
          <w:tcPr>
            <w:tcW w:type="dxa" w:w="5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9 city permit scrapers, DRB scraper, just-sold monitor, CDP scraper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2. Processing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Filter, score, deduplicate</w:t>
            </w:r>
          </w:p>
        </w:tc>
        <w:tc>
          <w:tcPr>
            <w:tcW w:type="dxa" w:w="5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Client-fit filter, 10-point scoring engine, address-based deduplication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3. Enrichment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Append owner/architect contact info</w:t>
            </w:r>
          </w:p>
        </w:tc>
        <w:tc>
          <w:tcPr>
            <w:tcW w:type="dxa" w:w="5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OC Assessor API, Spokeo by-name lookup, Apollo.io architect search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4. Delivery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Generate and send reports</w:t>
            </w:r>
          </w:p>
        </w:tc>
        <w:tc>
          <w:tcPr>
            <w:tcW w:type="dxa" w:w="5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CSV/JSON export, branded DOCX report, email via MS 365</w:t>
            </w:r>
          </w:p>
        </w:tc>
      </w:tr>
    </w:tbl>
    <w:p>
      <w:pPr>
        <w:spacing w:before="60"/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Runtime Environment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Open Sans" w:cs="Open Sans" w:eastAsia="Open Sans" w:hAnsi="Open Sans"/>
          <w:b/>
          <w:bCs/>
          <w:color w:val="1A1A2E"/>
          <w:sz w:val="19"/>
          <w:szCs w:val="19"/>
        </w:rPr>
        <w:t xml:space="preserve">Platform — </w:t>
      </w:r>
      <w:r>
        <w:rPr>
          <w:rFonts w:ascii="Open Sans" w:cs="Open Sans" w:eastAsia="Open Sans" w:hAnsi="Open Sans"/>
          <w:color w:val="59595B"/>
          <w:sz w:val="19"/>
          <w:szCs w:val="19"/>
        </w:rPr>
        <w:t xml:space="preserve">Windows 11 desktop session (required for Playwright browser automation)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Open Sans" w:cs="Open Sans" w:eastAsia="Open Sans" w:hAnsi="Open Sans"/>
          <w:b/>
          <w:bCs/>
          <w:color w:val="1A1A2E"/>
          <w:sz w:val="19"/>
          <w:szCs w:val="19"/>
        </w:rPr>
        <w:t xml:space="preserve">Runtime — </w:t>
      </w:r>
      <w:r>
        <w:rPr>
          <w:rFonts w:ascii="Open Sans" w:cs="Open Sans" w:eastAsia="Open Sans" w:hAnsi="Open Sans"/>
          <w:color w:val="59595B"/>
          <w:sz w:val="19"/>
          <w:szCs w:val="19"/>
        </w:rPr>
        <w:t xml:space="preserve">Node.js 18+ with Playwright for all browser-based scraping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Open Sans" w:cs="Open Sans" w:eastAsia="Open Sans" w:hAnsi="Open Sans"/>
          <w:b/>
          <w:bCs/>
          <w:color w:val="1A1A2E"/>
          <w:sz w:val="19"/>
          <w:szCs w:val="19"/>
        </w:rPr>
        <w:t xml:space="preserve">Scheduling — </w:t>
      </w:r>
      <w:r>
        <w:rPr>
          <w:rFonts w:ascii="Open Sans" w:cs="Open Sans" w:eastAsia="Open Sans" w:hAnsi="Open Sans"/>
          <w:color w:val="59595B"/>
          <w:sz w:val="19"/>
          <w:szCs w:val="19"/>
        </w:rPr>
        <w:t xml:space="preserve">Windows Task Scheduler triggers PowerShell orchestrator under user account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Open Sans" w:cs="Open Sans" w:eastAsia="Open Sans" w:hAnsi="Open Sans"/>
          <w:b/>
          <w:bCs/>
          <w:color w:val="1A1A2E"/>
          <w:sz w:val="19"/>
          <w:szCs w:val="19"/>
        </w:rPr>
        <w:t xml:space="preserve">AI Layer — </w:t>
      </w:r>
      <w:r>
        <w:rPr>
          <w:rFonts w:ascii="Open Sans" w:cs="Open Sans" w:eastAsia="Open Sans" w:hAnsi="Open Sans"/>
          <w:color w:val="59595B"/>
          <w:sz w:val="19"/>
          <w:szCs w:val="19"/>
        </w:rPr>
        <w:t xml:space="preserve">AI-powered supervisor monitors scraper health, diagnoses failures, triggers re-runs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Open Sans" w:cs="Open Sans" w:eastAsia="Open Sans" w:hAnsi="Open Sans"/>
          <w:b/>
          <w:bCs/>
          <w:color w:val="1A1A2E"/>
          <w:sz w:val="19"/>
          <w:szCs w:val="19"/>
        </w:rPr>
        <w:t xml:space="preserve">Credentials — </w:t>
      </w:r>
      <w:r>
        <w:rPr>
          <w:rFonts w:ascii="Open Sans" w:cs="Open Sans" w:eastAsia="Open Sans" w:hAnsi="Open Sans"/>
          <w:color w:val="59595B"/>
          <w:sz w:val="19"/>
          <w:szCs w:val="19"/>
        </w:rPr>
        <w:t xml:space="preserve">All credentials stored in .env file at project root, never committed to git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100" w:right="1080" w:bottom="900" w:left="1080" w:header="708" w:footer="708" w:gutter="0"/>
          <w:pgNumType/>
          <w:docGrid w:linePitch="360"/>
        </w:sectPr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6"/>
                <w:szCs w:val="26"/>
              </w:rPr>
              <w:t xml:space="preserve">Implementation Phase — 80 Hours (10 CTO + 70 Dev)</w:t>
            </w:r>
          </w:p>
        </w:tc>
      </w:tr>
    </w:tbl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After Alpha validation, the full system is built in six development phases with CTO oversight on architecture, integration, and quality.</w:t>
      </w:r>
    </w:p>
    <w:p>
      <w:pPr>
        <w:spacing w:before="40"/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CTO Responsibilities (10 hours)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80"/>
        <w:gridCol w:w="1800"/>
      </w:tblGrid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Architecture &amp; Technical Design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System architecture decisions, orchestrator design, data schema, API integration patterns, error recovery strategy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Integration &amp; Oversight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Code review of scraper implementations, integration testing across all data sources, performance optimization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Scoring Calibration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Work with Kurtis to validate lead scoring against his manual assessments, tune weights and thresholds for each signal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Deployment &amp; Handoff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Production deployment, scheduled task configuration, monitoring setup, operational documentation and runbook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80"/>
        <w:gridCol w:w="1800"/>
      </w:tblGrid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CTO</w:t>
            </w:r>
          </w:p>
        </w:tc>
        <w:tc>
          <w:tcPr>
            <w:tcW w:type="dxa" w:w="7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Architecture, Oversight &amp; Deployment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10 hrs</w:t>
            </w:r>
          </w:p>
        </w:tc>
      </w:tr>
    </w:tbl>
    <w:p>
      <w:pPr>
        <w:spacing w:before="80"/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Development Phase 1 — Orchestrator &amp; Supervisor (12 hrs)</w:t>
      </w:r>
    </w:p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Central PowerShell supervisor and Node.js orchestrator that coordinates all scrapers, manages scheduling, and handles error recovery.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80"/>
        <w:gridCol w:w="1800"/>
      </w:tblGrid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PowerShell Supervisor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Main entry point. Pre-flight checks (Node, Playwright, .env), launches orchestrator, captures exit codes, writes structured logs, sends health alerts on failure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Node.js Orchestrator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Runs all scrapers in configured order, manages parallel execution for independent scrapers, collects results into unified lead schema, handles timeouts and retries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Aggregator + Dedup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Merge results from all sources, deduplicate by normalized address, flag multi-source leads for bonus scoring points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Windows Scheduled Task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Task Scheduler configuration for tiered cadence: permits weekly, just-solds daily, DRB after meetings. Runs under user desktop session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80"/>
        <w:gridCol w:w="1800"/>
      </w:tblGrid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7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Orchestrator &amp; Supervisor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12 hrs Dev</w:t>
            </w:r>
          </w:p>
        </w:tc>
      </w:tr>
    </w:tbl>
    <w:p>
      <w:pPr>
        <w:spacing w:before="80"/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Development Phase 2 — DRB Intelligence (16 hrs)</w:t>
      </w:r>
    </w:p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Automated Design Review Board scraping—replaces Kurtis’s primary manual workflow of reading DRB agendas and extracting owner/architect names from linked plan sets.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80"/>
        <w:gridCol w:w="1800"/>
      </w:tblGrid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Granicus Agenda Parser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Parse meeting listings for Laguna Beach DRB, Costa Mesa, SJC, Irvine, Dana Point. Extract agenda items with project descriptions and staff recommendations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Legistar Integration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Parse Legistar API for Newport Beach Planning Commission, City of Orange DRC. Extract matter details, staff reports, and attachments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PDF Staff Report Parser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Download and parse staff report PDFs for recommendation status (approve/deny/continue), project scope, and square footage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Plan Set Title Block Extraction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Extract owner name and architect from plan set PDF title blocks using text extraction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80"/>
        <w:gridCol w:w="1800"/>
      </w:tblGrid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7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DRB Intelligence Scraper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16 hrs Dev</w:t>
            </w:r>
          </w:p>
        </w:tc>
      </w:tr>
    </w:tbl>
    <w:p>
      <w:pPr>
        <w:sectPr>
          <w:pgSz w:w="12240" w:h="15840" w:orient="portrait"/>
          <w:pgMar w:top="1100" w:right="1080" w:bottom="900" w:left="1080" w:header="708" w:footer="708" w:gutter="0"/>
          <w:pgNumType/>
          <w:docGrid w:linePitch="360"/>
        </w:sectPr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Development Phase 3 — Just-Sold Monitor (14 hrs)</w:t>
      </w:r>
    </w:p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Monitor real estate platforms for recent luxury sales in the 18 target HOA communities. Extract buyer agent contact info—the warm introduction path to new homeowners planning renovations or rebuilds.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80"/>
        <w:gridCol w:w="1800"/>
      </w:tblGrid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Zillow Scraper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Search by HOA community/zip, filter &gt;$3M SFR, extract sale price, buyer agent name, brokerage, sale date, address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Redfin Scraper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Search recently sold in target areas, last 90 days, SFR only. Extract buyer agent, MLS data, flag homes built pre-2000 as rebuild candidates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Realtor.com Scraper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Supplementary MLS-direct source. Focus on older homes in target HOAs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Anti-Detection &amp; Rate Limiting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Request throttling, session management, user-agent handling to maintain reliable access to real estate platforms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80"/>
        <w:gridCol w:w="1800"/>
      </w:tblGrid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7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Just-Sold Monitor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14 hrs Dev</w:t>
            </w:r>
          </w:p>
        </w:tc>
      </w:tr>
    </w:tbl>
    <w:p>
      <w:pPr>
        <w:spacing w:before="80"/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Development Phase 4 — Contact Enrichment (10 hrs)</w:t>
      </w:r>
    </w:p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Automated skip tracing and contact enrichment. Transforms leads into actionable contacts with owner phone/email and architect details.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80"/>
        <w:gridCol w:w="1800"/>
      </w:tblGrid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Spokeo Automation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Browser-based Spokeo search by owner NAME (never address). Login with stored credentials, extract phone and email. Queue-based processing so enrichment doesn’t block reports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Apollo.io Integration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API-based architect contact lookup by name + firm. Return direct email and LinkedIn profile for architect outreach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OC Assessor Batch Extension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Extend existing OC Assessor integration for batch processing. Auto-flag properties &gt;$5M as ultra-high-net-worth qualifier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80"/>
        <w:gridCol w:w="1800"/>
      </w:tblGrid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7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Contact Enrichment Pipeline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10 hrs Dev</w:t>
            </w:r>
          </w:p>
        </w:tc>
      </w:tr>
    </w:tbl>
    <w:p>
      <w:pPr>
        <w:spacing w:before="80"/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Development Phase 5 — CDP &amp; Financial Signals (8 hrs)</w:t>
      </w:r>
    </w:p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Coastal Development Permits and OC Clerk-Recorder financial signals add high-conviction lead indicators.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80"/>
        <w:gridCol w:w="1800"/>
      </w:tblGrid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CDP Scraper — 5 Cities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Scrape CDP filings from Huntington Beach, Newport Beach, Laguna Beach, Dana Point, San Clemente planning portals and CA Coastal Commission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OC Clerk-Recorder Monitor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Search for construction deeds of trust and LLC/trust property transfers in target areas. Integrate as scoring signals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80"/>
        <w:gridCol w:w="1800"/>
      </w:tblGrid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7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CDP &amp; Financial Signals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8 hrs Dev</w:t>
            </w:r>
          </w:p>
        </w:tc>
      </w:tr>
    </w:tbl>
    <w:p>
      <w:pPr>
        <w:spacing w:before="80"/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Development Phase 6 — Report &amp; Email Delivery (10 hrs)</w:t>
      </w:r>
    </w:p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Automated weekly report generation with email delivery to the client via Microsoft 365 integration.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80"/>
        <w:gridCol w:w="1800"/>
      </w:tblGrid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Weekly Report Generator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Generate tiered lead report: Tier 1 (Hot), Tier 2 (Warm), Tier 3 (Watch). CSV for CRM import, JSON for data consumers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Branded DOCX Builder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Extend existing Technijian-branded DOCX template for weekly reports. New leads highlighted, source attribution, scoring breakdown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MS 365 Email Integration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Configure MS 365 MCP server with OAuth. Compose and send weekly email to Kurtis with DOCX/CSV attachments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Delta Detection &amp; Archive</w:t>
            </w:r>
          </w:p>
        </w:tc>
        <w:tc>
          <w:tcPr>
            <w:tcW w:type="dxa" w:w="58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Track previously sent leads. Highlight only NEW leads per report. Archive weekly snapshots to data/reports/YYYY-MM-DD/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80"/>
        <w:gridCol w:w="1800"/>
      </w:tblGrid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7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Report &amp; Email Delivery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10 hrs Dev</w:t>
            </w:r>
          </w:p>
        </w:tc>
      </w:tr>
    </w:tbl>
    <w:p>
      <w:pPr>
        <w:sectPr>
          <w:pgSz w:w="12240" w:h="15840" w:orient="portrait"/>
          <w:pgMar w:top="1100" w:right="1080" w:bottom="900" w:left="1080" w:header="708" w:footer="708" w:gutter="0"/>
          <w:pgNumType/>
          <w:docGrid w:linePitch="360"/>
        </w:sectPr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6"/>
                <w:szCs w:val="26"/>
              </w:rPr>
              <w:t xml:space="preserve">Labor Summary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1200"/>
        <w:gridCol w:w="2480"/>
      </w:tblGrid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CTO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2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EA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Alpha</w:t>
            </w:r>
          </w:p>
        </w:tc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Feasibility &amp; Validation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—</w:t>
            </w:r>
          </w:p>
        </w:tc>
        <w:tc>
          <w:tcPr>
            <w:tcW w:type="dxa" w:w="2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P1</w:t>
            </w:r>
          </w:p>
        </w:tc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Orchestrator &amp; Supervisor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12</w:t>
            </w:r>
          </w:p>
        </w:tc>
        <w:tc>
          <w:tcPr>
            <w:tcW w:type="dxa" w:w="2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P2</w:t>
            </w:r>
          </w:p>
        </w:tc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DRB Intelligence Scraper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16</w:t>
            </w:r>
          </w:p>
        </w:tc>
        <w:tc>
          <w:tcPr>
            <w:tcW w:type="dxa" w:w="2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P3</w:t>
            </w:r>
          </w:p>
        </w:tc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Just-Sold Monitor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14</w:t>
            </w:r>
          </w:p>
        </w:tc>
        <w:tc>
          <w:tcPr>
            <w:tcW w:type="dxa" w:w="2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P4</w:t>
            </w:r>
          </w:p>
        </w:tc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Contact Enrichment Pipeline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10</w:t>
            </w:r>
          </w:p>
        </w:tc>
        <w:tc>
          <w:tcPr>
            <w:tcW w:type="dxa" w:w="2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P5</w:t>
            </w:r>
          </w:p>
        </w:tc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CDP &amp; Financial Signals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8</w:t>
            </w:r>
          </w:p>
        </w:tc>
        <w:tc>
          <w:tcPr>
            <w:tcW w:type="dxa" w:w="2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P6</w:t>
            </w:r>
          </w:p>
        </w:tc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Report &amp; Email Delivery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10</w:t>
            </w:r>
          </w:p>
        </w:tc>
        <w:tc>
          <w:tcPr>
            <w:tcW w:type="dxa" w:w="2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CTO</w:t>
            </w:r>
          </w:p>
        </w:tc>
        <w:tc>
          <w:tcPr>
            <w:tcW w:type="dxa" w:w="4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Architecture, Oversight, Deploy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—</w:t>
            </w:r>
          </w:p>
        </w:tc>
        <w:tc>
          <w:tcPr>
            <w:tcW w:type="dxa" w:w="2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10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67D4B" w:sz="4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90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Total Hours</w:t>
            </w:r>
          </w:p>
        </w:tc>
        <w:tc>
          <w:tcPr>
            <w:tcW w:type="dxa" w:w="2520"/>
            <w:tcBorders>
              <w:top w:val="single" w:color="F67D4B" w:sz="4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CTO Hours</w:t>
            </w:r>
          </w:p>
        </w:tc>
        <w:tc>
          <w:tcPr>
            <w:tcW w:type="dxa" w:w="2520"/>
            <w:tcBorders>
              <w:top w:val="single" w:color="F67D4B" w:sz="4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70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Development Hours</w:t>
            </w:r>
          </w:p>
        </w:tc>
        <w:tc>
          <w:tcPr>
            <w:tcW w:type="dxa" w:w="2520"/>
            <w:tcBorders>
              <w:top w:val="single" w:color="F67D4B" w:sz="4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Already Completed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6"/>
                <w:szCs w:val="26"/>
              </w:rPr>
              <w:t xml:space="preserve">Implementation Schedule</w:t>
            </w:r>
          </w:p>
        </w:tc>
      </w:tr>
    </w:tbl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Alpha runs first as a standalone validation. After go-ahead, development phases 2 and 3 can run in parallel. CTO hours are distributed across all weeks.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800"/>
        <w:gridCol w:w="4080"/>
      </w:tblGrid>
      <w:tr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Alpha</w:t>
            </w:r>
          </w:p>
        </w:tc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Feasibility validated</w:t>
            </w:r>
          </w:p>
        </w:tc>
        <w:tc>
          <w:tcPr>
            <w:tcW w:type="dxa" w:w="4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Written go/no-go report, architecture design</w:t>
            </w:r>
          </w:p>
        </w:tc>
      </w:tr>
      <w:tr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2–3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P1</w:t>
            </w:r>
          </w:p>
        </w:tc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Orchestrator operational</w:t>
            </w:r>
          </w:p>
        </w:tc>
        <w:tc>
          <w:tcPr>
            <w:tcW w:type="dxa" w:w="4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PowerShell supervisor, scheduled tasks, logging</w:t>
            </w:r>
          </w:p>
        </w:tc>
      </w:tr>
      <w:tr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3–4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P2</w:t>
            </w:r>
          </w:p>
        </w:tc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DRB scraper live</w:t>
            </w:r>
          </w:p>
        </w:tc>
        <w:tc>
          <w:tcPr>
            <w:tcW w:type="dxa" w:w="4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Granicus/Legistar parser, PDF title block extraction</w:t>
            </w:r>
          </w:p>
        </w:tc>
      </w:tr>
      <w:tr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3–4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P3</w:t>
            </w:r>
          </w:p>
        </w:tc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Just-sold monitor live</w:t>
            </w:r>
          </w:p>
        </w:tc>
        <w:tc>
          <w:tcPr>
            <w:tcW w:type="dxa" w:w="4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Zillow/Redfin/Realtor scrapers, buyer agent data</w:t>
            </w:r>
          </w:p>
        </w:tc>
      </w:tr>
      <w:tr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P4</w:t>
            </w:r>
          </w:p>
        </w:tc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Contact enrichment integrated</w:t>
            </w:r>
          </w:p>
        </w:tc>
        <w:tc>
          <w:tcPr>
            <w:tcW w:type="dxa" w:w="4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Spokeo + Apollo.io automation</w:t>
            </w:r>
          </w:p>
        </w:tc>
      </w:tr>
      <w:tr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5–6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P5</w:t>
            </w:r>
          </w:p>
        </w:tc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CDP + financial signals live</w:t>
            </w:r>
          </w:p>
        </w:tc>
        <w:tc>
          <w:tcPr>
            <w:tcW w:type="dxa" w:w="4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5-city CDP scraper, Clerk-Recorder monitor</w:t>
            </w:r>
          </w:p>
        </w:tc>
      </w:tr>
      <w:tr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P6</w:t>
            </w:r>
          </w:p>
        </w:tc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Report + email delivery</w:t>
            </w:r>
          </w:p>
        </w:tc>
        <w:tc>
          <w:tcPr>
            <w:tcW w:type="dxa" w:w="4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Weekly DOCX/CSV, MS 365 email to client</w:t>
            </w:r>
          </w:p>
        </w:tc>
      </w:tr>
      <w:tr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6–7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CTO</w:t>
            </w:r>
          </w:p>
        </w:tc>
        <w:tc>
          <w:tcPr>
            <w:tcW w:type="dxa" w:w="3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Deployment &amp; calibration</w:t>
            </w:r>
          </w:p>
        </w:tc>
        <w:tc>
          <w:tcPr>
            <w:tcW w:type="dxa" w:w="40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Scoring calibration, production handoff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6"/>
                <w:szCs w:val="26"/>
              </w:rPr>
              <w:t xml:space="preserve">Automated Run Cadence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3280"/>
      </w:tblGrid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3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City Permits (9)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Sunday 6:00 AM</w:t>
            </w:r>
          </w:p>
        </w:tc>
        <w:tc>
          <w:tcPr>
            <w:tcW w:type="dxa" w:w="3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Permits update slowly, weekly is sufficient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DRB Agendas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After each meeting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Daily check, scrape on new</w:t>
            </w:r>
          </w:p>
        </w:tc>
        <w:tc>
          <w:tcPr>
            <w:tcW w:type="dxa" w:w="3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Laguna Beach 2x/month, others vary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Just-Sold Listings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Daily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Mon–Fri 7:00 AM</w:t>
            </w:r>
          </w:p>
        </w:tc>
        <w:tc>
          <w:tcPr>
            <w:tcW w:type="dxa" w:w="3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Fresh sales go stale fast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CDP Filings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Sunday 6:30 AM</w:t>
            </w:r>
          </w:p>
        </w:tc>
        <w:tc>
          <w:tcPr>
            <w:tcW w:type="dxa" w:w="3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Coastal permits filed infrequently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Contact Enrichment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On new leads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After each scrape cycle</w:t>
            </w:r>
          </w:p>
        </w:tc>
        <w:tc>
          <w:tcPr>
            <w:tcW w:type="dxa" w:w="3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Only enrich newly discovered leads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Report + Email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Sunday 10:00 AM</w:t>
            </w:r>
          </w:p>
        </w:tc>
        <w:tc>
          <w:tcPr>
            <w:tcW w:type="dxa" w:w="32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Consolidated digest after all scrapes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28A745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6"/>
                <w:szCs w:val="26"/>
              </w:rPr>
              <w:t xml:space="preserve">Existing Assets (16 hrs completed)</w:t>
            </w:r>
          </w:p>
        </w:tc>
      </w:tr>
    </w:tbl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4680"/>
      </w:tblGrid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Newport Beach permit scraper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Tyler EnerGov (2FA via Gmail)</w:t>
            </w:r>
          </w:p>
        </w:tc>
      </w:tr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Laguna Beach permit scraper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Tyler EnerGov with SSO login</w:t>
            </w:r>
          </w:p>
        </w:tc>
      </w:tr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Costa Mesa permit scraper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Tyler EnerGov (no auth)</w:t>
            </w:r>
          </w:p>
        </w:tc>
      </w:tr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Laguna Niguel permit scraper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Tyler EnerGov (no auth)</w:t>
            </w:r>
          </w:p>
        </w:tc>
      </w:tr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San Juan Capistrano scraper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CentralSquare eTRAKiT</w:t>
            </w:r>
          </w:p>
        </w:tc>
      </w:tr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Dana Point permit scraper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CentralSquare eTRAKiT (free account)</w:t>
            </w:r>
          </w:p>
        </w:tc>
      </w:tr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San Clemente permit scraper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CentralSquare eTRAKiT</w:t>
            </w:r>
          </w:p>
        </w:tc>
      </w:tr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Irvine permit scraper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Custom ASP.NET portal</w:t>
            </w:r>
          </w:p>
        </w:tc>
      </w:tr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Client-fit filter + scoring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Shared module (agents/shared/client-fit.js)</w:t>
            </w:r>
          </w:p>
        </w:tc>
      </w:tr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OC Assessor API integration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Property value lookup by APN</w:t>
            </w:r>
          </w:p>
        </w:tc>
      </w:tr>
      <w:tr>
        <w:tc>
          <w:tcPr>
            <w:tcW w:type="dxa" w:w="4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Branded DOCX generation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Technijian-branded reports</w:t>
            </w:r>
          </w:p>
        </w:tc>
      </w:tr>
    </w:tbl>
    <w:p>
      <w:pPr>
        <w:sectPr>
          <w:pgSz w:w="12240" w:h="15840" w:orient="portrait"/>
          <w:pgMar w:top="1100" w:right="1080" w:bottom="900" w:left="1080" w:header="708" w:footer="708" w:gutter="0"/>
          <w:pgNumType/>
          <w:docGrid w:linePitch="360"/>
        </w:sectPr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6F42C1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6F42C1"/>
                <w:sz w:val="26"/>
                <w:szCs w:val="26"/>
              </w:rPr>
              <w:t xml:space="preserve">Future Phase — Lead Management Web Application</w:t>
            </w:r>
          </w:p>
        </w:tc>
      </w:tr>
    </w:tbl>
    <w:p>
      <w:pPr>
        <w:spacing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19"/>
          <w:szCs w:val="19"/>
        </w:rPr>
        <w:t xml:space="preserve">Once the autonomous lead pipeline is proven and delivering consistent weekly results, the natural evolution is a full-featured web application that puts Burkhart Brothers in complete control of their lead intelligence operation.</w:t>
      </w:r>
    </w:p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F42C1" w:sz="2"/>
              <w:left w:val="single" w:color="6F42C1" w:sz="6"/>
              <w:bottom w:val="single" w:color="6F42C1" w:sz="2"/>
              <w:right w:val="single" w:color="6F42C1" w:sz="2"/>
            </w:tcBorders>
            <w:shd w:fill="F3EE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This phase is offered as a separate engagement after the core system is operational and validated. It transforms the current automated pipeline into a self-service platform that Burkhart Brothers owns and manages independently, with Technijian providing ongoing maintenance and support.</w:t>
            </w:r>
          </w:p>
        </w:tc>
      </w:tr>
    </w:tbl>
    <w:p>
      <w:pPr>
        <w:spacing w:before="60"/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What the Web Application Adds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680"/>
      </w:tblGrid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6F42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6F42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Current System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6F42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Web Application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Lead Visibility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Weekly CSV/DOCX email report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Real-time dashboard with live lead feed, filtering, and search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Lead Management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Read-only reports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Assign leads to team members, track outreach status, log notes and call outcomes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Scoring Control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Fixed scoring weights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Adjustable scoring sliders—Kurtis tunes weights without developer involvement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Source Management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Developer-configured scrapers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Enable/disable sources, add new HOA targets, adjust search filters via UI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Contact Tracking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Contact info in spreadsheet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Built-in CRM: owner profiles, communication history, follow-up reminders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Pipeline View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Static tier grouping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Kanban board: New → Contacted → Meeting → Proposal → Won/Lost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Reporting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Weekly snapshot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On-demand reports, trend analytics, conversion tracking, ROI by source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Multi-User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Single recipient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Team access with role-based permissions (admin, sales, read-only)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Weekly email only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Real-time alerts: Tier 1 lead detected, score change, new source match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Mobile Access</w:t>
            </w:r>
          </w:p>
        </w:tc>
        <w:tc>
          <w:tcPr>
            <w:tcW w:type="dxa" w:w="3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Desktop only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Responsive web app—review leads from phone on job sites</w:t>
            </w:r>
          </w:p>
        </w:tc>
      </w:tr>
    </w:tbl>
    <w:p>
      <w:pPr>
        <w:spacing w:before="60"/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Proposed Technology Stack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480"/>
      </w:tblGrid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6F42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6F42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6F42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React 18 + Tailwind CSS</w:t>
            </w:r>
          </w:p>
        </w:tc>
        <w:tc>
          <w:tcPr>
            <w:tcW w:type="dxa" w:w="4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Modern, responsive UI with real-time updates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.NET 8 Web API</w:t>
            </w:r>
          </w:p>
        </w:tc>
        <w:tc>
          <w:tcPr>
            <w:tcW w:type="dxa" w:w="4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Enterprise-grade API with Dapper + stored procedures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SQL Server</w:t>
            </w:r>
          </w:p>
        </w:tc>
        <w:tc>
          <w:tcPr>
            <w:tcW w:type="dxa" w:w="4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Relational data for leads, contacts, pipeline stages, audit trail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Microsoft Entra ID (Azure AD)</w:t>
            </w:r>
          </w:p>
        </w:tc>
        <w:tc>
          <w:tcPr>
            <w:tcW w:type="dxa" w:w="4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SSO with existing Microsoft 365 accounts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Azure App Service</w:t>
            </w:r>
          </w:p>
        </w:tc>
        <w:tc>
          <w:tcPr>
            <w:tcW w:type="dxa" w:w="4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Scalable cloud hosting with CI/CD pipeline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Lead Engine</w:t>
            </w:r>
          </w:p>
        </w:tc>
        <w:tc>
          <w:tcPr>
            <w:tcW w:type="dxa" w:w="3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Existing Node.js scrapers</w:t>
            </w:r>
          </w:p>
        </w:tc>
        <w:tc>
          <w:tcPr>
            <w:tcW w:type="dxa" w:w="44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Current pipeline feeds into the web app database</w:t>
            </w:r>
          </w:p>
        </w:tc>
      </w:tr>
    </w:tbl>
    <w:p>
      <w:pPr>
        <w:spacing w:before="60"/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Open Sans" w:cs="Open Sans" w:eastAsia="Open Sans" w:hAnsi="Open Sans"/>
          <w:b/>
          <w:bCs/>
          <w:color w:val="1A1A2E"/>
          <w:sz w:val="19"/>
          <w:szCs w:val="19"/>
        </w:rPr>
        <w:t xml:space="preserve">Live Map View — </w:t>
      </w:r>
      <w:r>
        <w:rPr>
          <w:rFonts w:ascii="Open Sans" w:cs="Open Sans" w:eastAsia="Open Sans" w:hAnsi="Open Sans"/>
          <w:color w:val="59595B"/>
          <w:sz w:val="19"/>
          <w:szCs w:val="19"/>
        </w:rPr>
        <w:t xml:space="preserve">Interactive lead map showing all active projects across 11 OC cities with color-coded pins by tier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Open Sans" w:cs="Open Sans" w:eastAsia="Open Sans" w:hAnsi="Open Sans"/>
          <w:b/>
          <w:bCs/>
          <w:color w:val="1A1A2E"/>
          <w:sz w:val="19"/>
          <w:szCs w:val="19"/>
        </w:rPr>
        <w:t xml:space="preserve">Multi-Source Timeline — </w:t>
      </w:r>
      <w:r>
        <w:rPr>
          <w:rFonts w:ascii="Open Sans" w:cs="Open Sans" w:eastAsia="Open Sans" w:hAnsi="Open Sans"/>
          <w:color w:val="59595B"/>
          <w:sz w:val="19"/>
          <w:szCs w:val="19"/>
        </w:rPr>
        <w:t xml:space="preserve">Side-by-side comparison of leads from different sources with unified timeline of all signals for each property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Open Sans" w:cs="Open Sans" w:eastAsia="Open Sans" w:hAnsi="Open Sans"/>
          <w:b/>
          <w:bCs/>
          <w:color w:val="1A1A2E"/>
          <w:sz w:val="19"/>
          <w:szCs w:val="19"/>
        </w:rPr>
        <w:t xml:space="preserve">Outreach Automation — </w:t>
      </w:r>
      <w:r>
        <w:rPr>
          <w:rFonts w:ascii="Open Sans" w:cs="Open Sans" w:eastAsia="Open Sans" w:hAnsi="Open Sans"/>
          <w:color w:val="59595B"/>
          <w:sz w:val="19"/>
          <w:szCs w:val="19"/>
        </w:rPr>
        <w:t xml:space="preserve">Automated outreach tracking: log calls, emails, meetings. Set follow-up reminders with push notifications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Open Sans" w:cs="Open Sans" w:eastAsia="Open Sans" w:hAnsi="Open Sans"/>
          <w:b/>
          <w:bCs/>
          <w:color w:val="1A1A2E"/>
          <w:sz w:val="19"/>
          <w:szCs w:val="19"/>
        </w:rPr>
        <w:t xml:space="preserve">Analytics Dashboard — </w:t>
      </w:r>
      <w:r>
        <w:rPr>
          <w:rFonts w:ascii="Open Sans" w:cs="Open Sans" w:eastAsia="Open Sans" w:hAnsi="Open Sans"/>
          <w:color w:val="59595B"/>
          <w:sz w:val="19"/>
          <w:szCs w:val="19"/>
        </w:rPr>
        <w:t xml:space="preserve">Monthly and quarterly analytics: leads by source, conversion rates, time-to-contact, pipeline velocity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Open Sans" w:cs="Open Sans" w:eastAsia="Open Sans" w:hAnsi="Open Sans"/>
          <w:b/>
          <w:bCs/>
          <w:color w:val="1A1A2E"/>
          <w:sz w:val="19"/>
          <w:szCs w:val="19"/>
        </w:rPr>
        <w:t xml:space="preserve">Self-Service Config — </w:t>
      </w:r>
      <w:r>
        <w:rPr>
          <w:rFonts w:ascii="Open Sans" w:cs="Open Sans" w:eastAsia="Open Sans" w:hAnsi="Open Sans"/>
          <w:color w:val="59595B"/>
          <w:sz w:val="19"/>
          <w:szCs w:val="19"/>
        </w:rPr>
        <w:t xml:space="preserve">Configure which HOAs, cities, scoring weights, and notification thresholds to use—no developer needed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Open Sans" w:cs="Open Sans" w:eastAsia="Open Sans" w:hAnsi="Open Sans"/>
          <w:b/>
          <w:bCs/>
          <w:color w:val="1A1A2E"/>
          <w:sz w:val="19"/>
          <w:szCs w:val="19"/>
        </w:rPr>
        <w:t xml:space="preserve">Compliance &amp; Audit — </w:t>
      </w:r>
      <w:r>
        <w:rPr>
          <w:rFonts w:ascii="Open Sans" w:cs="Open Sans" w:eastAsia="Open Sans" w:hAnsi="Open Sans"/>
          <w:color w:val="59595B"/>
          <w:sz w:val="19"/>
          <w:szCs w:val="19"/>
        </w:rPr>
        <w:t xml:space="preserve">Full audit trail of every lead: when discovered, from which source, score changes, outreach history</w:t>
      </w:r>
    </w:p>
    <w:p>
      <w:pPr>
        <w:spacing w:before="60"/>
      </w:pPr>
    </w:p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Engagement Model</w:t>
      </w:r>
    </w:p>
    <w:p>
      <w:pPr>
        <w:spacing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6F42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6F42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Web App Build</w:t>
            </w:r>
          </w:p>
        </w:tc>
        <w:tc>
          <w:tcPr>
            <w:tcW w:type="dxa" w:w="7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Separate SOW scoped after core system is proven (estimated 200–300 hours)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Ownership</w:t>
            </w:r>
          </w:p>
        </w:tc>
        <w:tc>
          <w:tcPr>
            <w:tcW w:type="dxa" w:w="7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Burkhart Brothers owns the application and all data—hosted in their Azure tenant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Maintenance</w:t>
            </w:r>
          </w:p>
        </w:tc>
        <w:tc>
          <w:tcPr>
            <w:tcW w:type="dxa" w:w="7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Technijian provides ongoing maintenance: scraper updates when portals change, feature enhancements, security patches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Support SLA</w:t>
            </w:r>
          </w:p>
        </w:tc>
        <w:tc>
          <w:tcPr>
            <w:tcW w:type="dxa" w:w="7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Monthly retainer for support, monitoring, and up to 8 hours/month of enhancements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Training</w:t>
            </w:r>
          </w:p>
        </w:tc>
        <w:tc>
          <w:tcPr>
            <w:tcW w:type="dxa" w:w="7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Onboarding session for Kurtis and team—admin panel walkthrough, scoring configuration, pipeline management</w:t>
            </w:r>
          </w:p>
        </w:tc>
      </w:tr>
    </w:tbl>
    <w:p>
      <w:pPr>
        <w:spacing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F42C1" w:sz="2"/>
              <w:left w:val="single" w:color="6F42C1" w:sz="6"/>
              <w:bottom w:val="single" w:color="6F42C1" w:sz="2"/>
              <w:right w:val="single" w:color="6F42C1" w:sz="2"/>
            </w:tcBorders>
            <w:shd w:fill="F3EE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The web application is a natural Phase 2 once the autonomous pipeline proves its value. Start with the 90-hour core build, validate lead quality and ROI, then invest in the full platform when ready. No commitment required until you’ve seen results.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Technijian  |  Autonomous Lead Generation  |  rjain@technijian.com  |  949.379.8500</w:t>
            </w:r>
          </w:p>
        </w:tc>
      </w:tr>
    </w:tbl>
    <w:sectPr>
      <w:pgSz w:w="12240" w:h="15840" w:orient="portrait"/>
      <w:pgMar w:top="11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W w:type="dxa" w:w="10080"/>
          <w:tcBorders>
            <w:top w:val="none"/>
            <w:left w:val="none"/>
            <w:bottom w:val="none"/>
            <w:right w:val="none"/>
          </w:tcBorders>
          <w:shd w:fill="006DB6" w:val="clear"/>
          <w:tcMar>
            <w:top w:type="dxa" w:w="2"/>
            <w:left w:type="dxa" w:w="0"/>
            <w:bottom w:type="dxa" w:w="2"/>
            <w:right w:type="dxa" w:w="0"/>
          </w:tcMar>
        </w:tcPr>
        <w:p>
          <w:pPr>
            <w:spacing w:after="0" w:before="0"/>
          </w:pPr>
        </w:p>
      </w:tc>
    </w:tr>
  </w:tbl>
  <w:p>
    <w:pPr>
      <w:spacing w:before="60"/>
      <w:jc w:val="center"/>
    </w:pPr>
    <w:r>
      <w:rPr>
        <w:rFonts w:ascii="Open Sans" w:cs="Open Sans" w:eastAsia="Open Sans" w:hAnsi="Open Sans"/>
        <w:color w:val="59595B"/>
        <w:sz w:val="15"/>
        <w:szCs w:val="15"/>
      </w:rPr>
      <w:t xml:space="preserve">Technijian  |  BBC Autonomous Lead Generation — System Specification  |  Page </w:t>
    </w:r>
    <w:r>
      <w:rPr>
        <w:rFonts w:ascii="Open Sans" w:cs="Open Sans" w:eastAsia="Open Sans" w:hAnsi="Open Sans"/>
        <w:color w:val="59595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1333500" cy="276225"/>
                <wp:effectExtent t="0" r="0" b="0" l="0"/>
                <wp:docPr id="1" name="logo" descr="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8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949.379.8500 | technijian.com</w:t>
          </w:r>
        </w:p>
      </w:tc>
    </w:tr>
  </w:tbl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W w:type="dxa" w:w="10080"/>
          <w:tcBorders>
            <w:top w:val="none"/>
            <w:left w:val="none"/>
            <w:bottom w:val="none"/>
            <w:right w:val="none"/>
          </w:tcBorders>
          <w:shd w:fill="F67D4B" w:val="clear"/>
          <w:tcMar>
            <w:top w:type="dxa" w:w="3"/>
            <w:left w:type="dxa" w:w="0"/>
            <w:bottom w:type="dxa" w:w="3"/>
            <w:right w:type="dxa" w:w="0"/>
          </w:tcMar>
        </w:tcPr>
        <w:p>
          <w:pPr>
            <w:spacing w:after="0" w:before="0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2026-03-11T00:08:41.592Z</dcterms:created>
  <dcterms:modified xsi:type="dcterms:W3CDTF">2026-03-11T00:08:41.594Z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