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Schedule A</w:t>
      </w:r>
    </w:p>
    <w:p>
      <w:pPr>
        <w:spacing w:before="200"/>
        <w:jc w:val="center"/>
      </w:pPr>
      <w:r>
        <w:rPr>
          <w:rFonts w:ascii="Open Sans" w:cs="Open Sans" w:eastAsia="Open Sans" w:hAnsi="Open Sans"/>
          <w:color w:val="59595B"/>
          <w:sz w:val="26"/>
          <w:szCs w:val="26"/>
        </w:rPr>
        <w:t xml:space="preserve">Monthly Managed Services
Attached to MSA-BWH</w:t>
      </w:r>
    </w:p>
    <w:p>
      <w:pPr>
        <w:spacing w:before="100"/>
        <w:jc w:val="center"/>
      </w:pPr>
      <w:r>
        <w:rPr>
          <w:rFonts w:ascii="Open Sans" w:cs="Open Sans" w:eastAsia="Open Sans" w:hAnsi="Open Sans"/>
          <w:color w:val="59595B"/>
          <w:sz w:val="22"/>
          <w:szCs w:val="22"/>
        </w:rPr>
        <w:t xml:space="preserve">May 1,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A — MONTHLY MANAGED SERVICES</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after="120"/>
      </w:pPr>
      <w:r>
        <w:rPr>
          <w:rFonts w:ascii="Open Sans" w:cs="Open Sans" w:eastAsia="Open Sans" w:hAnsi="Open Sans"/>
          <w:color w:val="59595B"/>
          <w:sz w:val="22"/>
          <w:szCs w:val="22"/>
        </w:rPr>
        <w:t xml:space="preserve">This Schedule describes the Monthly Managed Services provided by Technijian, Inc. (“Technijian”) to Brandywine Homes (“Client”) under the Master Service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1 — ONLINE SERVICES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Description</w:t>
            </w:r>
          </w:p>
        </w:tc>
      </w:tr>
    </w:tbl>
    <w:p>
      <w:pPr>
        <w:spacing w:after="120"/>
      </w:pPr>
      <w:r>
        <w:rPr>
          <w:rFonts w:ascii="Open Sans" w:cs="Open Sans" w:eastAsia="Open Sans" w:hAnsi="Open Sans"/>
          <w:color w:val="59595B"/>
          <w:sz w:val="22"/>
          <w:szCs w:val="22"/>
        </w:rPr>
        <w:t xml:space="preserve">Online Services include managed infrastructure, security, monitoring, and related IT services delivered on a recurring monthly basis. Services are selected from the Technijian Price List and itemized in the Service Order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Service Categories</w:t>
            </w:r>
          </w:p>
        </w:tc>
      </w:tr>
    </w:tbl>
    <w:p>
      <w:pPr>
        <w:spacing w:after="120"/>
      </w:pPr>
      <w:r>
        <w:rPr>
          <w:rFonts w:ascii="Open Sans" w:cs="Open Sans" w:eastAsia="Open Sans" w:hAnsi="Open Sans"/>
          <w:color w:val="59595B"/>
          <w:sz w:val="22"/>
          <w:szCs w:val="22"/>
        </w:rPr>
        <w:t xml:space="preserve">Online Services are organized into the following categories. Specific services, quantities, and pricing are detailed in the Service Order attached to this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Category</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Description</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Desktop Management</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antivirus (CrowdStrike, Huntress), DNS filtering, remote access, monitoring</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Server Management</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image backup, antivirus (CrowdStrike, Huntress), remote access,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Infrastructure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Veeam management</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Network &amp; Security</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Switch config backup, firewall traffic monitoring, WiFi monitoring, pen testing, storage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Email &amp; Compliance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 DMARC/DKIM, anti-spam, phishing training, Veeam 365, file sharing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1.3 Service Order</w:t>
            </w:r>
          </w:p>
        </w:tc>
      </w:tr>
    </w:tbl>
    <w:p>
      <w:pPr>
        <w:spacing w:after="120"/>
      </w:pPr>
      <w:r>
        <w:rPr>
          <w:rFonts w:ascii="Open Sans" w:cs="Open Sans" w:eastAsia="Open Sans" w:hAnsi="Open Sans"/>
          <w:color w:val="59595B"/>
          <w:sz w:val="22"/>
          <w:szCs w:val="22"/>
        </w:rPr>
        <w:t xml:space="preserve">The specific services, quantities, and monthly pricing for Client are detailed below. The Service Order may be updated by mutual written agreement.</w:t>
      </w:r>
    </w:p>
    <w:p>
      <w:pPr>
        <w:spacing w:before="100"/>
      </w:pPr>
    </w:p>
    <w:p>
      <w:pPr>
        <w:spacing w:after="60"/>
      </w:pPr>
      <w:r>
        <w:rPr>
          <w:rFonts w:ascii="Open Sans" w:cs="Open Sans" w:eastAsia="Open Sans" w:hAnsi="Open Sans"/>
          <w:b/>
          <w:bCs/>
          <w:color w:val="1A1A2E"/>
          <w:sz w:val="20"/>
          <w:szCs w:val="20"/>
        </w:rPr>
        <w:t xml:space="preserve">Desktop Management (32 desktops)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Desktop (Huntress)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Desktop (CrowdStrike)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AVD</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Desktop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$952.00</w:t>
            </w:r>
          </w:p>
        </w:tc>
      </w:tr>
    </w:tbl>
    <w:p>
      <w:pPr>
        <w:spacing w:before="100"/>
      </w:pPr>
    </w:p>
    <w:p>
      <w:pPr>
        <w:spacing w:after="60"/>
      </w:pPr>
      <w:r>
        <w:rPr>
          <w:rFonts w:ascii="Open Sans" w:cs="Open Sans" w:eastAsia="Open Sans" w:hAnsi="Open Sans"/>
          <w:b/>
          <w:bCs/>
          <w:color w:val="1A1A2E"/>
          <w:sz w:val="20"/>
          <w:szCs w:val="20"/>
        </w:rPr>
        <w:t xml:space="preserve">Server Management (12 servers)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$39.00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Image Backup (Veeam)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Server (Huntress)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Server (CrowdStrike)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Server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$561.00</w:t>
            </w:r>
          </w:p>
        </w:tc>
      </w:tr>
    </w:tbl>
    <w:p>
      <w:pPr>
        <w:spacing w:before="100"/>
      </w:pPr>
    </w:p>
    <w:p>
      <w:pPr>
        <w:spacing w:after="60"/>
      </w:pPr>
      <w:r>
        <w:rPr>
          <w:rFonts w:ascii="Open Sans" w:cs="Open Sans" w:eastAsia="Open Sans" w:hAnsi="Open Sans"/>
          <w:b/>
          <w:bCs/>
          <w:color w:val="1A1A2E"/>
          <w:sz w:val="20"/>
          <w:szCs w:val="20"/>
        </w:rPr>
        <w:t xml:space="preserve">Cloud Infrastructure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(TB)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TB-BSTR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$33.00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Cloud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$683.00</w:t>
            </w:r>
          </w:p>
        </w:tc>
      </w:tr>
    </w:tbl>
    <w:p>
      <w:pPr>
        <w:spacing w:before="100"/>
      </w:pPr>
    </w:p>
    <w:p>
      <w:pPr>
        <w:spacing w:after="60"/>
      </w:pPr>
      <w:r>
        <w:rPr>
          <w:rFonts w:ascii="Open Sans" w:cs="Open Sans" w:eastAsia="Open Sans" w:hAnsi="Open Sans"/>
          <w:b/>
          <w:bCs/>
          <w:color w:val="1A1A2E"/>
          <w:sz w:val="20"/>
          <w:szCs w:val="20"/>
        </w:rPr>
        <w:t xml:space="preserve">Network &amp; Security</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Config (Switches)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OPS-BKP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Real Time Pen Testing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RTPT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Traffic (Firewalls)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Wifi (APs)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OPS-WF</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Storage (Disks)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OPS-ST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$4.75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Firewall Subscription 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MPC Edge Appliance (16GB/8 cores/512GB)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Edge-16M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Network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$459.50</w:t>
            </w:r>
          </w:p>
        </w:tc>
      </w:tr>
    </w:tbl>
    <w:p>
      <w:pPr>
        <w:spacing w:before="100"/>
      </w:pPr>
    </w:p>
    <w:p>
      <w:pPr>
        <w:spacing w:after="60"/>
      </w:pPr>
      <w:r>
        <w:rPr>
          <w:rFonts w:ascii="Open Sans" w:cs="Open Sans" w:eastAsia="Open Sans" w:hAnsi="Open Sans"/>
          <w:b/>
          <w:bCs/>
          <w:color w:val="1A1A2E"/>
          <w:sz w:val="20"/>
          <w:szCs w:val="20"/>
        </w:rPr>
        <w:t xml:space="preserve">Email &amp; Compliance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DMARC/DKIM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Standard</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$518.75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Phishing Training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Disk</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MDU</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Email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$1,389.75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TOTAL MONTHLY ONLINE SERVICES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$4,045.25</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 Service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Target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Infrastructure Uptime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 (excluding scheduled maintenance)</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Scheduled Maintenance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Tuesday evenings and Saturdays (with advance notice)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Critical Incident Response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1 hour of notification</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Standard Support Response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4 business hours</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Maintenance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 needed with reasonable notice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1.4a Service Level Remedies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Sole Remedy. Service credits under this Section 1.4a are Client’s sole and exclusive remedy for Technijian’s failure to meet the applicable service levels.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1.5 Monitoring and Reporting</w:t>
            </w:r>
          </w:p>
        </w:tc>
      </w:tr>
    </w:tbl>
    <w:p>
      <w:pPr>
        <w:spacing w:after="120"/>
      </w:pPr>
      <w:r>
        <w:rPr>
          <w:rFonts w:ascii="Open Sans" w:cs="Open Sans" w:eastAsia="Open Sans" w:hAnsi="Open Sans"/>
          <w:color w:val="59595B"/>
          <w:sz w:val="22"/>
          <w:szCs w:val="22"/>
        </w:rPr>
        <w:t xml:space="preserve">Technijian shall provide:</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24/7 monitoring of Client’s infrastructure included in the Service Order;</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service reports summarizing uptime, incidents, and support activity; and</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Quarterly service reviews with Client’s designated representative.</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Escalation Path. Support requests shall be escalated as follows: Tier 1 (initial response) — assigned technician; Tier 2 (within 4 hours if unresolved) — senior engineer or team lead; Tier 3 (within 8 hours if unresolved) — department manager or CTO Advisory.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2 — SIP TRUNK SERVICES</w:t>
            </w:r>
          </w:p>
        </w:tc>
      </w:tr>
    </w:tbl>
    <w:p>
      <w:pPr>
        <w:spacing w:before="100"/>
      </w:pPr>
    </w:p>
    <w:p>
      <w:pPr>
        <w:spacing w:after="120"/>
      </w:pPr>
      <w:r>
        <w:rPr>
          <w:rFonts w:ascii="Open Sans" w:cs="Open Sans" w:eastAsia="Open Sans" w:hAnsi="Open Sans"/>
          <w:color w:val="59595B"/>
          <w:sz w:val="22"/>
          <w:szCs w:val="22"/>
        </w:rPr>
        <w:t xml:space="preserve">SIP Trunk Services may be added via Service Order amendment.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3 — VIRTUAL STAFF (CONTRACTED SUPPORT)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3.1 Description</w:t>
            </w:r>
          </w:p>
        </w:tc>
      </w:tr>
    </w:tbl>
    <w:p>
      <w:pPr>
        <w:spacing w:after="120"/>
      </w:pPr>
      <w:r>
        <w:rPr>
          <w:rFonts w:ascii="Open Sans" w:cs="Open Sans" w:eastAsia="Open Sans" w:hAnsi="Open Sans"/>
          <w:color w:val="59595B"/>
          <w:sz w:val="22"/>
          <w:szCs w:val="22"/>
        </w:rPr>
        <w:t xml:space="preserve">Virtual Staff services provide Client with dedicated technology support personnel on a contracted basis. This service operates on a 12-month cycle-based billing model as described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3.2 Support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Location</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Hours/Mo</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Rate</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Systems Architect</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(IRV-AD1)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$170.00/hr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USA Tech Normal</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15.26</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$106.25/hr</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Normal</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58.13</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$12.75/hr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After Hours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42.82</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$25.50/hr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3.3 Cycle-Based Billing Model</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Billing Cycle. Client has selected a billing cycle of 12 months (the “Cycle”). The purpose of the Cycle is to provide Client with a structured path to eliminate any unpaid hour balance by the end of each Cycle, thereby avoiding cancellation fees.</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Billed Amount Calculation. The fixed monthly billing rate for each role is calculated as follows:</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new Cycle, Technijian calculates the average monthly hours consumed per role during the previous Cycle, excluding the final month of that Cycle.</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This average is then adjusted to account for any unpaid hour balance carried forward from the previous Cycle, so that the new monthly billed amount is set at a level designed to bring the unpaid balance to zero by the end of the current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monthly billed amount for each role equals the adjusted monthly billed hours multiplied by the applicable Contracted Rate from the Rate Card (Schedule C).</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Running Balance. Technijian maintains a running balance for each role: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month, the running balance is adjusted by adding the actual hours used during the previous month and subtracting the monthly billed hours for that month.</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 positive running balance indicates hours consumed in excess of billed amounts (an unpaid hour balance that the Cycle is designed to resolve).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 negative running balance indicates hours billed in excess of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Cycle Reconciliation. At the end of each Cycle: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The running balance for each role is reconciled.</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net positive balance (hours consumed but not yet billed) is carried forward into the next Cycle. The next Cycle’s monthly billed amount will be recalculated per Section 3.3(b) to absorb this balance and target a zero unpaid balance by the end of the next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Any net negative balance (hours billed but not consumed) resets to zero. No credit or refund is issued. The actual usage data from the completed Cycle is used to calculate the monthly billed amount for the next Cycle per Section 3.3(b).</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Cancellation. If Client terminates Virtual Staff services or this Agreement:</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Any positive running balance (actual hours under the current Cycle exceeding billed hours under the current Cycle) shall become immediately due and payable at the Rate Card Hourly Rate ($150.00 per hour) from Schedule C, not the Contracted Rate. The Contracted Rates set forth in Section 3.2 are provided in consideration for Client’s commitment to the Cycle, and shall not apply to unpaid hours upon cancellation under any circumstance.</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negative running balance (billed hours exceeding actual hours) does not entitle Client to a credit, refund, or offset against the final invoice. The unpaid balance is simply zero and no further amounts are due from either Party with respect to that role.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Legacy Balance described in Section 12.01 of the Master Service Agreement shall be governed by the termination treatment set forth in Section 12.01(c) of the Master Service Agreement, not by this subsection (e). For avoidance of doubt, no rate other than the Rate Card Hourly Rate ($150.00 per hour) per Schedule C shall apply to either the Cycle running balance under this Section 3.3 or the Legacy Balance under Section 12.01 of the Master Service Agreement upon cancellation, and no reduced or discounted rate shall apply.</w:t>
      </w:r>
    </w:p>
    <w:p>
      <w:pPr>
        <w:spacing w:after="60"/>
      </w:pPr>
      <w:r>
        <w:rPr>
          <w:rFonts w:ascii="Open Sans" w:cs="Open Sans" w:eastAsia="Open Sans" w:hAnsi="Open Sans"/>
          <w:b/>
          <w:bCs/>
          <w:color w:val="006DB6"/>
          <w:sz w:val="22"/>
          <w:szCs w:val="22"/>
        </w:rPr>
        <w:t xml:space="preserve">(f) </w:t>
      </w:r>
      <w:r>
        <w:rPr>
          <w:rFonts w:ascii="Open Sans" w:cs="Open Sans" w:eastAsia="Open Sans" w:hAnsi="Open Sans"/>
          <w:color w:val="59595B"/>
          <w:sz w:val="22"/>
          <w:szCs w:val="22"/>
        </w:rPr>
        <w:t xml:space="preserve">Minimum Contracted Hours. The monthly billed hours for each role shall not fall below fifty percent (50%) of the initial contracted hours established in the Service Order for that role (the “Minimum Hours”). If actual usage drops below the Minimum Hours for three (3) or more consecutive months, Technijian may adjust the monthly billed hours down to the Minimum Hours at the start of the next Cycle, but shall not reduce below the Minimum Hours without mutual written agreement. The Minimum Hours provision ensures that Technijian can maintain dedicated staffing resources and reserved capacity for Client. If Client wishes to reduce hours below the Minimum, Client may request a Service Order amendment, subject to Technijian’s approval and a thirty (30) day notice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3.4 Weekly Service Reports</w:t>
            </w:r>
          </w:p>
        </w:tc>
      </w:tr>
    </w:tbl>
    <w:p>
      <w:pPr>
        <w:spacing w:after="120"/>
      </w:pPr>
      <w:r>
        <w:rPr>
          <w:rFonts w:ascii="Open Sans" w:cs="Open Sans" w:eastAsia="Open Sans" w:hAnsi="Open Sans"/>
          <w:color w:val="59595B"/>
          <w:sz w:val="22"/>
          <w:szCs w:val="22"/>
        </w:rPr>
        <w:t xml:space="preserve">Technijian shall provide Client with weekly service reports that detail:</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Each support ticket addressed during the period;</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The role, resource name, and hours spent per ticket;</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Whether the work was performed during normal or after-hours;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A description of the work performed; and</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The current running balance for each role.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 Service Level Commitments</w:t>
            </w:r>
          </w:p>
        </w:tc>
      </w:tr>
    </w:tbl>
    <w:p>
      <w:pPr>
        <w:spacing w:after="120"/>
      </w:pPr>
      <w:r>
        <w:rPr>
          <w:rFonts w:ascii="Open Sans" w:cs="Open Sans" w:eastAsia="Open Sans" w:hAnsi="Open Sans"/>
          <w:color w:val="59595B"/>
          <w:sz w:val="22"/>
          <w:szCs w:val="22"/>
        </w:rPr>
        <w:t xml:space="preserve">Technijian commits to a single measurable Service Level Agreement under this Schedule: Response Time. Resolution times are not guaranteed because Client’s environment may include equipment that is out of warranty, third-party software requiring vendor escalation, and other factors outside Technijian’s control.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Commitment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Response Time (all severities)</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four (4) business hours of ticket creation in the Client Portal</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Resolution Time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Not guaranteed; commercially reasonable efforts only</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Infrastructure Uptime (target)</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 commercially reasonable efforts (no service credit unless expressly granted under Section 3.5a)</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Scheduled Maintenance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Tuesday evenings and Saturdays, with reasonable advance notice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Maintenance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 needed with reasonable notice</w:t>
            </w:r>
          </w:p>
        </w:tc>
      </w:tr>
    </w:tbl>
    <w:p>
      <w:pPr>
        <w:spacing w:before="80"/>
      </w:pP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Response Time Definition. “Response” means initial human acknowledgment of the support ticket in the Client Portal, including assignment to a technician and confirmation of receipt to Client. Response Time is measured from Client Portal ticket creation timestamp to ticket acknowledgment timestamp. Response Time applies to all support tickets regardless of severity classification. A timely deferral notice issued under Section 3.6 shall constitute a Response within the meaning of this subsection, and the deferred ticket shall be excluded from the breach calculation under Master Service Agreement Section 12.01(d) unless timely escalated under Section 3.6(f).</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Resolution Not Guaranteed. The Parties acknowledge that resolution timeframes depend on factors that may include third-party vendor support timelines, equipment warranty status, software vendor escalation cycles, hardware availability, and other circumstances beyond Technijian’s reasonable control. Technijian shall use commercially reasonable efforts to drive each support ticket to resolution but does not commit to any specific resolution timeframe under this Schedule.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Measurement Period. Response Time compliance is measured per billing month using Client Portal ticket data. Tickets opened in a given billing month are evaluated for Response Time compliance based on the timestamps recorded in the Client Portal.</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Relationship to MSA Section 12.01. Failure to meet the Response Time Service Level may, if material and uncured as defined in Section 12.01(d) of the Master Service Agreement, support a termination for cause under MSA Section 2.04(a) and trigger the Legacy Balance waiver in MSA Section 12.01(c)(2). Resolution Time and Infrastructure Uptime are not bases for the Legacy Balance waiver under MSA Section 12.01(c)(2).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3.5a Service Level Remedies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Sole Remedy. Service credits under this Section are Client’s sole and exclusive remedy for Technijian’s failure to meet the applicable service levels.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3.6 Usage Notifications and Cycle Discipline</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Notifications. Technijian shall track Client’s monthly Virtual Staff hour consumption against the monthly billed hours per role and shall provide notifications to Client through the Client Portal and to Client’s designated point of contact when cumulative consumption in a billing month reaches: (i) 50% of monthly billed hours; (ii) 60% of monthly billed hours; (iii) 70% of monthly billed hours; and (iv) 80% of monthly billed hours.</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80% Threshold. Upon reaching 80% of monthly billed hours for any role in a billing month, Technijian shall notify Client that the monthly cap is approaching, and Technijian may decline to begin new non-emergency support requests under that role for the remainder of the billing month. Client may continue to submit emergency (P1 production-down) requests, which Technijian shall continue to address subject to the Response Time Service Level in Section 3.5. A written deferral notice issued by Technijian in response to a non-emergency request submitted at or above the 80% threshold shall constitute the Response under Section 3.5(a) for purposes of SLA compliance, and the deferred ticket shall be excluded from the breach calculation under MSA Section 12.01(d) unless Client timely escalates the ticket under subsection (f) below.</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Purpose. The notification thresholds and the 80% practice are intended to maintain cycle integrity by helping ensure Client’s actual consumption stays within monthly billed hours during the term of this Schedule, so that the under-utilization paydown described in Section 3.3 and Section 12.01 of the Master Service Agreement can resolve the Legacy Balance through cycle dynamics rather than through end-of-cycle invoicing or termination.</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Override. Client may direct Technijian in writing to continue non-emergency work beyond 80% of monthly billed hours for a given role and billing month. Hours worked beyond 80% on Client’s written direction shall be tracked and may, at Technijian’s option, be billed as out-of-contract services per Schedule C if persistent overuse is observed for more than three (3) consecutive billing months.</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No Service Reduction. The 80% practice does not reduce the monthly billed hours for which Client is invoiced, nor does it constitute a credit, refund, or offset of any kind. The 80% practice is a queue-management mechanism to support cycle paydown and may be adjusted by mutual written agreement of the Parties at any time.</w:t>
      </w:r>
    </w:p>
    <w:p>
      <w:pPr>
        <w:spacing w:after="60"/>
      </w:pPr>
      <w:r>
        <w:rPr>
          <w:rFonts w:ascii="Open Sans" w:cs="Open Sans" w:eastAsia="Open Sans" w:hAnsi="Open Sans"/>
          <w:b/>
          <w:bCs/>
          <w:color w:val="006DB6"/>
          <w:sz w:val="22"/>
          <w:szCs w:val="22"/>
        </w:rPr>
        <w:t xml:space="preserve">(f) </w:t>
      </w:r>
      <w:r>
        <w:rPr>
          <w:rFonts w:ascii="Open Sans" w:cs="Open Sans" w:eastAsia="Open Sans" w:hAnsi="Open Sans"/>
          <w:color w:val="59595B"/>
          <w:sz w:val="22"/>
          <w:szCs w:val="22"/>
        </w:rPr>
        <w:t xml:space="preserve">Escalation. If Client in good faith believes a deferred ticket constitutes an Emergency (as defined in subsection (g) below) or otherwise should not have been deferred, Client shall escalate the ticket in writing within five (5) business days of the deferral notice, identifying the specific ticket and the basis for reclassification. Upon receipt of a timely escalation, Technijian shall reclassify the ticket and respond per the Response Time Service Level in Section 3.5. Tickets not escalated within the five (5) business day window shall be deemed properly deferred and shall not count toward the breach calculation in MSA Section 12.01(d). Improper deferrals identified through the escalation process do count toward the Section 12.01(d) calculation if Technijian fails to reclassify and respond within the four (4) business hour window after escalation.</w:t>
      </w:r>
    </w:p>
    <w:p>
      <w:pPr>
        <w:spacing w:after="60"/>
      </w:pPr>
      <w:r>
        <w:rPr>
          <w:rFonts w:ascii="Open Sans" w:cs="Open Sans" w:eastAsia="Open Sans" w:hAnsi="Open Sans"/>
          <w:b/>
          <w:bCs/>
          <w:color w:val="006DB6"/>
          <w:sz w:val="22"/>
          <w:szCs w:val="22"/>
        </w:rPr>
        <w:t xml:space="preserve">(g) </w:t>
      </w:r>
      <w:r>
        <w:rPr>
          <w:rFonts w:ascii="Open Sans" w:cs="Open Sans" w:eastAsia="Open Sans" w:hAnsi="Open Sans"/>
          <w:color w:val="59595B"/>
          <w:sz w:val="22"/>
          <w:szCs w:val="22"/>
        </w:rPr>
        <w:t xml:space="preserve">Emergency Definition. For purposes of Section 3.5 and this Section 3.6, an “Emergency” (also “P1 production-down”) means a support request involving any of the following: (i) total loss of access to a production system used by five (5) or more end users; (ii) total loss of access to email, file shares, or critical line-of-business applications affecting five (5) or more end users; (iii) a confirmed cybersecurity incident involving active compromise of Client systems or data; or (iv) physical site outage at a Client location. Severity classification is initially made by Client at the time of ticket submission and may be reclassified by Technijian upon review of the ticket details, subject to Client’s escalation rights under subsection (f).</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GENERAL TERMS FOR THIS SCHEDULE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Payment and Collection</w:t>
            </w:r>
          </w:p>
        </w:tc>
      </w:tr>
    </w:tbl>
    <w:p>
      <w:pPr>
        <w:spacing w:after="120"/>
      </w:pPr>
      <w:r>
        <w:rPr>
          <w:rFonts w:ascii="Open Sans" w:cs="Open Sans" w:eastAsia="Open Sans" w:hAnsi="Open Sans"/>
          <w:color w:val="59595B"/>
          <w:sz w:val="22"/>
          <w:szCs w:val="22"/>
        </w:rPr>
        <w:t xml:space="preserve">All payment terms, late fees, dispute procedures, and collection remedies for invoices arising under this Schedule are governed by Section 3 of the Master Service Agreement.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Changes to Services</w:t>
            </w:r>
          </w:p>
        </w:tc>
      </w:tr>
    </w:tbl>
    <w:p>
      <w:pPr>
        <w:spacing w:after="120"/>
      </w:pPr>
      <w:r>
        <w:rPr>
          <w:rFonts w:ascii="Open Sans" w:cs="Open Sans" w:eastAsia="Open Sans" w:hAnsi="Open Sans"/>
          <w:color w:val="59595B"/>
          <w:sz w:val="22"/>
          <w:szCs w:val="22"/>
        </w:rPr>
        <w:t xml:space="preserve">Either Party may request changes to the services described in this Schedule by providing thirty (30) days written notice. Changes to quantities, roles, or service levels shall be documented in an updated Service Order signed by both Parties.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Pricing Adjustments</w:t>
            </w:r>
          </w:p>
        </w:tc>
      </w:tr>
    </w:tbl>
    <w:p>
      <w:pPr>
        <w:spacing w:after="120"/>
      </w:pPr>
      <w:r>
        <w:rPr>
          <w:rFonts w:ascii="Open Sans" w:cs="Open Sans" w:eastAsia="Open Sans" w:hAnsi="Open Sans"/>
          <w:color w:val="59595B"/>
          <w:sz w:val="22"/>
          <w:szCs w:val="22"/>
        </w:rPr>
        <w:t xml:space="preserve">Pricing for services under this Schedule is subject to the Rate Card (Schedule C). Technijian may adjust rates upon sixty (60) days written notice, effective at the start of any month-to-month continuation period under MSA Section 2.02, or upon mutual written agreement during the Initial Term.</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2026-04-28T16:42:27.755Z</dcterms:created>
  <dcterms:modified xsi:type="dcterms:W3CDTF">2026-04-28T16:42:27.756Z</dcterms:modified>
</cp:coreProperties>
</file>

<file path=docProps/custom.xml><?xml version="1.0" encoding="utf-8"?>
<Properties xmlns="http://schemas.openxmlformats.org/officeDocument/2006/custom-properties" xmlns:vt="http://schemas.openxmlformats.org/officeDocument/2006/docPropsVTypes"/>
</file>