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Project Services</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[SOW-XXXX]</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[DATE]</w:t>
      </w:r>
    </w:p>
    <w:p>
      <w:r>
        <w:rPr>
          <w:rFonts w:ascii="Open Sans" w:cs="Open Sans" w:eastAsia="Open Sans" w:hAnsi="Open Sans"/>
          <w:b/>
          <w:bCs/>
          <w:color w:val="1A1A2E"/>
          <w:sz w:val="22"/>
          <w:szCs w:val="22"/>
        </w:rPr>
        <w:t xml:space="preserve">Master Service Agreement: </w:t>
      </w:r>
      <w:r>
        <w:rPr>
          <w:rFonts w:ascii="Open Sans" w:cs="Open Sans" w:eastAsia="Open Sans" w:hAnsi="Open Sans"/>
          <w:color w:val="59595B"/>
          <w:sz w:val="22"/>
          <w:szCs w:val="22"/>
        </w:rPr>
        <w:t xml:space="preserve">[MSA-XXXX] (if applicable)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 ("Client")</w:t>
      </w:r>
    </w:p>
    <w:p>
      <w:r>
        <w:rPr>
          <w:rFonts w:ascii="Open Sans" w:cs="Open Sans" w:eastAsia="Open Sans" w:hAnsi="Open Sans"/>
          <w:color w:val="59595B"/>
          <w:sz w:val="22"/>
          <w:szCs w:val="22"/>
        </w:rPr>
        <w:t xml:space="preserve">[CLIENT ADDRESS]</w:t>
      </w:r>
    </w:p>
    <w:p>
      <w:r>
        <w:rPr>
          <w:rFonts w:ascii="Open Sans" w:cs="Open Sans" w:eastAsia="Open Sans" w:hAnsi="Open Sans"/>
          <w:color w:val="59595B"/>
          <w:sz w:val="22"/>
          <w:szCs w:val="22"/>
        </w:rPr>
        <w:t xml:space="preserve">[CITY, STATE ZIP]</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1. PROJECT OVERVIEW</w:t>
      </w:r>
    </w:p>
    <w:p>
      <w:pPr>
        <w:pStyle w:val="Heading3"/>
      </w:pPr>
      <w:r>
        <w:rPr>
          <w:rFonts w:ascii="Open Sans" w:cs="Open Sans" w:eastAsia="Open Sans" w:hAnsi="Open Sans"/>
          <w:color w:val="59595B"/>
          <w:sz w:val="22"/>
          <w:szCs w:val="22"/>
        </w:rPr>
        <w:t xml:space="preserve">1.1 Project Title</w:t>
      </w:r>
    </w:p>
    <w:p>
      <w:r>
        <w:rPr>
          <w:rFonts w:ascii="Open Sans" w:cs="Open Sans" w:eastAsia="Open Sans" w:hAnsi="Open Sans"/>
          <w:color w:val="59595B"/>
          <w:sz w:val="22"/>
          <w:szCs w:val="22"/>
        </w:rPr>
        <w:t xml:space="preserve">[PROJECT TITLE]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1.2 Project Description</w:t>
      </w:r>
    </w:p>
    <w:p>
      <w:r>
        <w:rPr>
          <w:rFonts w:ascii="Open Sans" w:cs="Open Sans" w:eastAsia="Open Sans" w:hAnsi="Open Sans"/>
          <w:color w:val="59595B"/>
          <w:sz w:val="22"/>
          <w:szCs w:val="22"/>
        </w:rPr>
        <w:t xml:space="preserve">[Brief description of the project, including the business need and desired outcome.]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1.3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360"/>
        <w:gridCol w:w="1300"/>
      </w:tblGrid>
      <w:tr>
        <w:tc>
          <w:tcPr>
            <w:tcW w:type="dxa" w:w="2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 Name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4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Address</w:t>
            </w:r>
          </w:p>
        </w:tc>
        <w:tc>
          <w:tcPr>
            <w:tcW w:type="dxa" w:w="1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Billable</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[Location 1]</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[CODE]</w:t>
            </w:r>
          </w:p>
        </w:tc>
        <w:tc>
          <w:tcPr>
            <w:tcW w:type="dxa" w:w="4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[ADDRESS]</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Yes/No</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 SCOPE OF WORK</w:t>
      </w:r>
    </w:p>
    <w:p>
      <w:pPr>
        <w:pStyle w:val="Heading3"/>
      </w:pPr>
      <w:r>
        <w:rPr>
          <w:rFonts w:ascii="Open Sans" w:cs="Open Sans" w:eastAsia="Open Sans" w:hAnsi="Open Sans"/>
          <w:color w:val="59595B"/>
          <w:sz w:val="22"/>
          <w:szCs w:val="22"/>
        </w:rPr>
        <w:t xml:space="preserve">2.1 In Scope</w:t>
      </w:r>
    </w:p>
    <w:p>
      <w:r>
        <w:rPr>
          <w:rFonts w:ascii="Open Sans" w:cs="Open Sans" w:eastAsia="Open Sans" w:hAnsi="Open Sans"/>
          <w:color w:val="59595B"/>
          <w:sz w:val="22"/>
          <w:szCs w:val="22"/>
        </w:rPr>
        <w:t xml:space="preserve">[Describe what is included in this SOW.]</w:t>
      </w:r>
    </w:p>
    <w:p>
      <w:pPr>
        <w:pStyle w:val="ListParagraph"/>
        <w:numPr>
          <w:ilvl w:val="0"/>
          <w:numId w:val="2"/>
        </w:numPr>
      </w:pPr>
      <w:r>
        <w:rPr>
          <w:rFonts w:ascii="Open Sans" w:cs="Open Sans" w:eastAsia="Open Sans" w:hAnsi="Open Sans"/>
          <w:color w:val="59595B"/>
          <w:sz w:val="22"/>
          <w:szCs w:val="22"/>
        </w:rPr>
        <w:t xml:space="preserve">[Deliverable/task 1]</w:t>
      </w:r>
    </w:p>
    <w:p>
      <w:pPr>
        <w:pStyle w:val="ListParagraph"/>
        <w:numPr>
          <w:ilvl w:val="0"/>
          <w:numId w:val="2"/>
        </w:numPr>
      </w:pPr>
      <w:r>
        <w:rPr>
          <w:rFonts w:ascii="Open Sans" w:cs="Open Sans" w:eastAsia="Open Sans" w:hAnsi="Open Sans"/>
          <w:color w:val="59595B"/>
          <w:sz w:val="22"/>
          <w:szCs w:val="22"/>
        </w:rPr>
        <w:t xml:space="preserve">[Deliverable/task 2]</w:t>
      </w:r>
    </w:p>
    <w:p>
      <w:pPr>
        <w:pStyle w:val="ListParagraph"/>
        <w:numPr>
          <w:ilvl w:val="0"/>
          <w:numId w:val="2"/>
        </w:numPr>
      </w:pPr>
      <w:r>
        <w:rPr>
          <w:rFonts w:ascii="Open Sans" w:cs="Open Sans" w:eastAsia="Open Sans" w:hAnsi="Open Sans"/>
          <w:color w:val="59595B"/>
          <w:sz w:val="22"/>
          <w:szCs w:val="22"/>
        </w:rPr>
        <w:t xml:space="preserve">[Deliverable/task 3]</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2.2 Out of Scope</w:t>
      </w:r>
    </w:p>
    <w:p>
      <w:r>
        <w:rPr>
          <w:rFonts w:ascii="Open Sans" w:cs="Open Sans" w:eastAsia="Open Sans" w:hAnsi="Open Sans"/>
          <w:color w:val="59595B"/>
          <w:sz w:val="22"/>
          <w:szCs w:val="22"/>
        </w:rPr>
        <w:t xml:space="preserve">The following items are expressly excluded from this SOW:</w:t>
      </w:r>
    </w:p>
    <w:p>
      <w:pPr>
        <w:pStyle w:val="ListParagraph"/>
        <w:numPr>
          <w:ilvl w:val="0"/>
          <w:numId w:val="2"/>
        </w:numPr>
      </w:pPr>
      <w:r>
        <w:rPr>
          <w:rFonts w:ascii="Open Sans" w:cs="Open Sans" w:eastAsia="Open Sans" w:hAnsi="Open Sans"/>
          <w:color w:val="59595B"/>
          <w:sz w:val="22"/>
          <w:szCs w:val="22"/>
        </w:rPr>
        <w:t xml:space="preserve">[Exclusion 1]</w:t>
      </w:r>
    </w:p>
    <w:p>
      <w:pPr>
        <w:pStyle w:val="ListParagraph"/>
        <w:numPr>
          <w:ilvl w:val="0"/>
          <w:numId w:val="2"/>
        </w:numPr>
      </w:pPr>
      <w:r>
        <w:rPr>
          <w:rFonts w:ascii="Open Sans" w:cs="Open Sans" w:eastAsia="Open Sans" w:hAnsi="Open Sans"/>
          <w:color w:val="59595B"/>
          <w:sz w:val="22"/>
          <w:szCs w:val="22"/>
        </w:rPr>
        <w:t xml:space="preserve">[Exclusion 2]</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2.3 Assumptions</w:t>
      </w:r>
    </w:p>
    <w:p>
      <w:pPr>
        <w:pStyle w:val="ListParagraph"/>
        <w:numPr>
          <w:ilvl w:val="0"/>
          <w:numId w:val="2"/>
        </w:numPr>
      </w:pPr>
      <w:r>
        <w:rPr>
          <w:rFonts w:ascii="Open Sans" w:cs="Open Sans" w:eastAsia="Open Sans" w:hAnsi="Open Sans"/>
          <w:color w:val="59595B"/>
          <w:sz w:val="22"/>
          <w:szCs w:val="22"/>
        </w:rPr>
        <w:t xml:space="preserve">[Assumption 1]</w:t>
      </w:r>
    </w:p>
    <w:p>
      <w:pPr>
        <w:pStyle w:val="ListParagraph"/>
        <w:numPr>
          <w:ilvl w:val="0"/>
          <w:numId w:val="2"/>
        </w:numPr>
      </w:pPr>
      <w:r>
        <w:rPr>
          <w:rFonts w:ascii="Open Sans" w:cs="Open Sans" w:eastAsia="Open Sans" w:hAnsi="Open Sans"/>
          <w:color w:val="59595B"/>
          <w:sz w:val="22"/>
          <w:szCs w:val="22"/>
        </w:rPr>
        <w:t xml:space="preserve">[Assumption 2]</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 PROJECT PHASES</w:t>
      </w:r>
    </w:p>
    <w:p>
      <w:pPr>
        <w:pStyle w:val="Heading3"/>
      </w:pPr>
      <w:r>
        <w:rPr>
          <w:rFonts w:ascii="Open Sans" w:cs="Open Sans" w:eastAsia="Open Sans" w:hAnsi="Open Sans"/>
          <w:color w:val="59595B"/>
          <w:sz w:val="22"/>
          <w:szCs w:val="22"/>
        </w:rPr>
        <w:t xml:space="preserve">Phase 1: [PHASE NAME]</w:t>
      </w:r>
    </w:p>
    <w:p>
      <w:r>
        <w:rPr>
          <w:rFonts w:ascii="Open Sans" w:cs="Open Sans" w:eastAsia="Open Sans" w:hAnsi="Open Sans"/>
          <w:b/>
          <w:bCs/>
          <w:color w:val="1A1A2E"/>
          <w:sz w:val="22"/>
          <w:szCs w:val="22"/>
        </w:rPr>
        <w:t xml:space="preserve">3.1.1 Description</w:t>
      </w:r>
    </w:p>
    <w:p>
      <w:r>
        <w:rPr>
          <w:rFonts w:ascii="Open Sans" w:cs="Open Sans" w:eastAsia="Open Sans" w:hAnsi="Open Sans"/>
          <w:color w:val="59595B"/>
          <w:sz w:val="22"/>
          <w:szCs w:val="22"/>
        </w:rPr>
        <w:t xml:space="preserve">[Description of the phase objectives and activities.]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3.1.2 Deliverables</w:t>
      </w:r>
    </w:p>
    <w:p>
      <w:pPr>
        <w:pStyle w:val="ListParagraph"/>
        <w:numPr>
          <w:ilvl w:val="0"/>
          <w:numId w:val="2"/>
        </w:numPr>
      </w:pPr>
      <w:r>
        <w:rPr>
          <w:rFonts w:ascii="Open Sans" w:cs="Open Sans" w:eastAsia="Open Sans" w:hAnsi="Open Sans"/>
          <w:color w:val="59595B"/>
          <w:sz w:val="22"/>
          <w:szCs w:val="22"/>
        </w:rPr>
        <w:t xml:space="preserve">[Deliverable 1]</w:t>
      </w:r>
    </w:p>
    <w:p>
      <w:pPr>
        <w:pStyle w:val="ListParagraph"/>
        <w:numPr>
          <w:ilvl w:val="0"/>
          <w:numId w:val="2"/>
        </w:numPr>
      </w:pPr>
      <w:r>
        <w:rPr>
          <w:rFonts w:ascii="Open Sans" w:cs="Open Sans" w:eastAsia="Open Sans" w:hAnsi="Open Sans"/>
          <w:color w:val="59595B"/>
          <w:sz w:val="22"/>
          <w:szCs w:val="22"/>
        </w:rPr>
        <w:t xml:space="preserve">[Deliverable 2]</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3.1.3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1500"/>
        <w:gridCol w:w="1500"/>
        <w:gridCol w:w="1500"/>
      </w:tblGrid>
      <w:tr>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[Role]</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[Task description]</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[Hours]</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[Day/Week]</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Total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[Hours]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r>
        <w:br w:type="page"/>
      </w:r>
    </w:p>
    <w:p>
      <w:pPr>
        <w:pStyle w:val="Heading2"/>
      </w:pPr>
      <w:r>
        <w:rPr>
          <w:rFonts w:ascii="Open Sans" w:cs="Open Sans" w:eastAsia="Open Sans" w:hAnsi="Open Sans"/>
          <w:color w:val="59595B"/>
          <w:sz w:val="22"/>
          <w:szCs w:val="22"/>
        </w:rPr>
        <w:t xml:space="preserve">4. EQUIPMENT AND MATERIALS</w:t>
      </w:r>
    </w:p>
    <w:p>
      <w:r>
        <w:rPr>
          <w:rFonts w:ascii="Open Sans" w:cs="Open Sans" w:eastAsia="Open Sans" w:hAnsi="Open Sans"/>
          <w:i/>
          <w:iCs/>
          <w:color w:val="59595B"/>
          <w:sz w:val="20"/>
          <w:szCs w:val="20"/>
        </w:rPr>
        <w:t xml:space="preserve">Complete this section if the SOW includes hardware or equipment procurement.</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60"/>
        <w:gridCol w:w="900"/>
        <w:gridCol w:w="1650"/>
        <w:gridCol w:w="165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Item</w:t>
            </w:r>
          </w:p>
        </w:tc>
        <w:tc>
          <w:tcPr>
            <w:tcW w:type="dxa" w:w="34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Qty</w:t>
            </w:r>
          </w:p>
        </w:tc>
        <w:tc>
          <w:tcPr>
            <w:tcW w:type="dxa" w:w="165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 Price</w:t>
            </w:r>
          </w:p>
        </w:tc>
        <w:tc>
          <w:tcPr>
            <w:tcW w:type="dxa" w:w="165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Sub-Total</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[Item]</w:t>
            </w:r>
          </w:p>
        </w:tc>
        <w:tc>
          <w:tcPr>
            <w:tcW w:type="dxa" w:w="3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[Description/specs]</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[Qty]</w:t>
            </w:r>
          </w:p>
        </w:tc>
        <w:tc>
          <w:tcPr>
            <w:tcW w:type="dxa" w:w="1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c>
          <w:tcPr>
            <w:tcW w:type="dxa" w:w="1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Sub-Total:</w:t>
            </w:r>
          </w:p>
        </w:tc>
        <w:tc>
          <w:tcPr>
            <w:tcW w:type="dxa" w:w="1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Sales Tax:</w:t>
            </w:r>
          </w:p>
        </w:tc>
        <w:tc>
          <w:tcPr>
            <w:tcW w:type="dxa" w:w="1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Equipment Total:</w:t>
            </w:r>
          </w:p>
        </w:tc>
        <w:tc>
          <w:tcPr>
            <w:tcW w:type="dxa" w:w="1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4.1 Title and Ownership</w:t>
      </w:r>
    </w:p>
    <w:p>
      <w:r>
        <w:rPr>
          <w:rFonts w:ascii="Open Sans" w:cs="Open Sans" w:eastAsia="Open Sans" w:hAnsi="Open Sans"/>
          <w:color w:val="59595B"/>
          <w:sz w:val="22"/>
          <w:szCs w:val="22"/>
        </w:rPr>
        <w:t xml:space="preserve">Title to equipment shall remain vested in Technijian until paid for in full. Upon receipt of full payment, title shall transfer to Client.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4.2 Warranty</w:t>
      </w:r>
    </w:p>
    <w:p>
      <w:r>
        <w:rPr>
          <w:rFonts w:ascii="Open Sans" w:cs="Open Sans" w:eastAsia="Open Sans" w:hAnsi="Open Sans"/>
          <w:color w:val="59595B"/>
          <w:sz w:val="22"/>
          <w:szCs w:val="22"/>
        </w:rPr>
        <w:t xml:space="preserve">Equipment warranty is provided by the manufacturer per the manufacturer's warranty terms. Technijian shall assist Client in processing any warranty claims during the warranty period.</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4.3 Financing</w:t>
      </w:r>
    </w:p>
    <w:p>
      <w:r>
        <w:rPr>
          <w:rFonts w:ascii="Open Sans" w:cs="Open Sans" w:eastAsia="Open Sans" w:hAnsi="Open Sans"/>
          <w:color w:val="59595B"/>
          <w:sz w:val="22"/>
          <w:szCs w:val="22"/>
        </w:rPr>
        <w:t xml:space="preserve">If Client elects to finance equipment through a third-party financing provider, Technijian's obligation is fulfilled upon receipt of payment from the financing provider. Client's financing obligations are between Client and the financing provider.</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 PRICING AND PAYMENT</w:t>
      </w:r>
    </w:p>
    <w:p>
      <w:pPr>
        <w:pStyle w:val="Heading3"/>
      </w:pPr>
      <w:r>
        <w:rPr>
          <w:rFonts w:ascii="Open Sans" w:cs="Open Sans" w:eastAsia="Open Sans" w:hAnsi="Open Sans"/>
          <w:color w:val="59595B"/>
          <w:sz w:val="22"/>
          <w:szCs w:val="22"/>
        </w:rPr>
        <w:t xml:space="preserve">5.1 Summary of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w:t>
            </w:r>
          </w:p>
        </w:tc>
        <w:tc>
          <w:tcPr>
            <w:tcW w:type="dxa" w:w="2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2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24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Cost</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[Fixed/Estimate]</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[Hours]</w:t>
            </w:r>
          </w:p>
        </w:tc>
        <w:tc>
          <w:tcPr>
            <w:tcW w:type="dxa" w:w="2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[Fixed/Estimate]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[Hours]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Equipment</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Total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Pricing Type Definitions:</w:t>
      </w:r>
    </w:p>
    <w:p>
      <w:pPr>
        <w:pStyle w:val="ListParagraph"/>
        <w:numPr>
          <w:ilvl w:val="0"/>
          <w:numId w:val="2"/>
        </w:numPr>
      </w:pPr>
      <w:r>
        <w:rPr>
          <w:rFonts w:ascii="Open Sans" w:cs="Open Sans" w:eastAsia="Open Sans" w:hAnsi="Open Sans"/>
          <w:color w:val="59595B"/>
          <w:sz w:val="22"/>
          <w:szCs w:val="22"/>
        </w:rPr>
        <w:t xml:space="preserve">Fixed Cost: Technijian will complete the work at the stated price regardless of actual hours.</w:t>
      </w:r>
    </w:p>
    <w:p>
      <w:pPr>
        <w:pStyle w:val="ListParagraph"/>
        <w:numPr>
          <w:ilvl w:val="0"/>
          <w:numId w:val="2"/>
        </w:numPr>
      </w:pPr>
      <w:r>
        <w:rPr>
          <w:rFonts w:ascii="Open Sans" w:cs="Open Sans" w:eastAsia="Open Sans" w:hAnsi="Open Sans"/>
          <w:color w:val="59595B"/>
          <w:sz w:val="22"/>
          <w:szCs w:val="22"/>
        </w:rPr>
        <w:t xml:space="preserve">Estimate Cost: The stated hours and cost are estimates. Technijian will bill for actual time at the applicable rate. If actual hours are projected to exceed the estimate by more than 10%, Technijian will notify Client before proceeding.</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5.2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Milestone</w:t>
            </w:r>
          </w:p>
        </w:tc>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Invoiced</w:t>
            </w:r>
          </w:p>
        </w:tc>
        <w:tc>
          <w:tcPr>
            <w:tcW w:type="dxa" w:w="27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Amount</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[e.g., Before Phase 1 begins]</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[Timing]</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[e.g., After Phase 2 completion]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[Timing]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Total</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5.3 Payment Terms</w:t>
      </w:r>
    </w:p>
    <w:p>
      <w:r>
        <w:rPr>
          <w:rFonts w:ascii="Open Sans" w:cs="Open Sans" w:eastAsia="Open Sans" w:hAnsi="Open Sans"/>
          <w:color w:val="59595B"/>
          <w:sz w:val="22"/>
          <w:szCs w:val="22"/>
        </w:rPr>
        <w:t xml:space="preserve">All invoices are due and payable within thirty (30) days of the invoice date. Late payments are subject to the terms of the Master Service Agreement, or if no MSA is in effect, a late fee of 1.5% per month on the unpaid balance.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 CLIENT RESPONSIBILITIES</w:t>
      </w:r>
    </w:p>
    <w:p>
      <w:r>
        <w:rPr>
          <w:rFonts w:ascii="Open Sans" w:cs="Open Sans" w:eastAsia="Open Sans" w:hAnsi="Open Sans"/>
          <w:color w:val="59595B"/>
          <w:sz w:val="22"/>
          <w:szCs w:val="22"/>
        </w:rPr>
        <w:t xml:space="preserve">Client shall:</w:t>
      </w:r>
    </w:p>
    <w:p>
      <w:pPr>
        <w:ind w:left="360"/>
      </w:pPr>
      <w:r>
        <w:rPr>
          <w:rFonts w:ascii="Open Sans" w:cs="Open Sans" w:eastAsia="Open Sans" w:hAnsi="Open Sans"/>
          <w:color w:val="59595B"/>
          <w:sz w:val="22"/>
          <w:szCs w:val="22"/>
        </w:rPr>
        <w:t xml:space="preserve">(a) Provide access to systems, facilities, and personnel as reasonably required;</w:t>
      </w:r>
    </w:p>
    <w:p>
      <w:pPr>
        <w:ind w:left="360"/>
      </w:pPr>
      <w:r>
        <w:rPr>
          <w:rFonts w:ascii="Open Sans" w:cs="Open Sans" w:eastAsia="Open Sans" w:hAnsi="Open Sans"/>
          <w:color w:val="59595B"/>
          <w:sz w:val="22"/>
          <w:szCs w:val="22"/>
        </w:rPr>
        <w:t xml:space="preserve">(b) Designate a point of contact authorized to make decisions on behalf of Client;</w:t>
      </w:r>
    </w:p>
    <w:p>
      <w:pPr>
        <w:ind w:left="360"/>
      </w:pPr>
      <w:r>
        <w:rPr>
          <w:rFonts w:ascii="Open Sans" w:cs="Open Sans" w:eastAsia="Open Sans" w:hAnsi="Open Sans"/>
          <w:color w:val="59595B"/>
          <w:sz w:val="22"/>
          <w:szCs w:val="22"/>
        </w:rPr>
        <w:t xml:space="preserve">(c) Review and approve deliverables within five (5) business days of submission;</w:t>
      </w:r>
    </w:p>
    <w:p>
      <w:pPr>
        <w:ind w:left="360"/>
      </w:pPr>
      <w:r>
        <w:rPr>
          <w:rFonts w:ascii="Open Sans" w:cs="Open Sans" w:eastAsia="Open Sans" w:hAnsi="Open Sans"/>
          <w:color w:val="59595B"/>
          <w:sz w:val="22"/>
          <w:szCs w:val="22"/>
        </w:rPr>
        <w:t xml:space="preserve">(d) Ensure all relevant data is backed up prior to the start of work; and</w:t>
      </w:r>
    </w:p>
    <w:p>
      <w:pPr>
        <w:ind w:left="360"/>
      </w:pPr>
      <w:r>
        <w:rPr>
          <w:rFonts w:ascii="Open Sans" w:cs="Open Sans" w:eastAsia="Open Sans" w:hAnsi="Open Sans"/>
          <w:color w:val="59595B"/>
          <w:sz w:val="22"/>
          <w:szCs w:val="22"/>
        </w:rPr>
        <w:t xml:space="preserve">(e) Inform users of planned service changes, maintenance windows, and downtime.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 CHANGE MANAGEMENT</w:t>
      </w:r>
    </w:p>
    <w:p>
      <w:r>
        <w:rPr>
          <w:rFonts w:ascii="Open Sans" w:cs="Open Sans" w:eastAsia="Open Sans" w:hAnsi="Open Sans"/>
          <w:b/>
          <w:bCs/>
          <w:color w:val="1A1A2E"/>
          <w:sz w:val="22"/>
          <w:szCs w:val="22"/>
        </w:rPr>
        <w:t xml:space="preserve">7.01. </w:t>
      </w:r>
      <w:r>
        <w:rPr>
          <w:rFonts w:ascii="Open Sans" w:cs="Open Sans" w:eastAsia="Open Sans" w:hAnsi="Open Sans"/>
          <w:color w:val="59595B"/>
          <w:sz w:val="22"/>
          <w:szCs w:val="22"/>
        </w:rPr>
        <w:t xml:space="preserve">Any changes to the scope, schedule, or pricing of this SOW must be documented in a written Change Order signed by both Parties before work on the change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7.02. </w:t>
      </w:r>
      <w:r>
        <w:rPr>
          <w:rFonts w:ascii="Open Sans" w:cs="Open Sans" w:eastAsia="Open Sans" w:hAnsi="Open Sans"/>
          <w:color w:val="59595B"/>
          <w:sz w:val="22"/>
          <w:szCs w:val="22"/>
        </w:rPr>
        <w:t xml:space="preserve">If Client requests work outside the defined scope, Technijian shall provide a Change Order detailing the additional work, estimated hours, and cost impact.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7.03. </w:t>
      </w:r>
      <w:r>
        <w:rPr>
          <w:rFonts w:ascii="Open Sans" w:cs="Open Sans" w:eastAsia="Open Sans" w:hAnsi="Open Sans"/>
          <w:color w:val="59595B"/>
          <w:sz w:val="22"/>
          <w:szCs w:val="22"/>
        </w:rPr>
        <w:t xml:space="preserve">Technijian shall not proceed with out-of-scope work without an approved Change Order, except in cases where delay would result in harm to Client's systems, in which case Technijian shall notify Client as soon as practicable.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8. ACCEPTANCE</w:t>
      </w:r>
    </w:p>
    <w:p>
      <w:r>
        <w:rPr>
          <w:rFonts w:ascii="Open Sans" w:cs="Open Sans" w:eastAsia="Open Sans" w:hAnsi="Open Sans"/>
          <w:b/>
          <w:bCs/>
          <w:color w:val="1A1A2E"/>
          <w:sz w:val="22"/>
          <w:szCs w:val="22"/>
        </w:rPr>
        <w:t xml:space="preserve">8.01. </w:t>
      </w:r>
      <w:r>
        <w:rPr>
          <w:rFonts w:ascii="Open Sans" w:cs="Open Sans" w:eastAsia="Open Sans" w:hAnsi="Open Sans"/>
          <w:color w:val="59595B"/>
          <w:sz w:val="22"/>
          <w:szCs w:val="22"/>
        </w:rPr>
        <w:t xml:space="preserve">Upon completion of each phase, Technijian shall notify Client in writing that the deliverables are ready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8.02. </w:t>
      </w:r>
      <w:r>
        <w:rPr>
          <w:rFonts w:ascii="Open Sans" w:cs="Open Sans" w:eastAsia="Open Sans" w:hAnsi="Open Sans"/>
          <w:color w:val="59595B"/>
          <w:sz w:val="22"/>
          <w:szCs w:val="22"/>
        </w:rPr>
        <w:t xml:space="preserve">Client shall review the deliverables and provide written acceptance or a detailed description of deficiencies within five (5) business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8.03. </w:t>
      </w:r>
      <w:r>
        <w:rPr>
          <w:rFonts w:ascii="Open Sans" w:cs="Open Sans" w:eastAsia="Open Sans" w:hAnsi="Open Sans"/>
          <w:color w:val="59595B"/>
          <w:sz w:val="22"/>
          <w:szCs w:val="22"/>
        </w:rPr>
        <w:t xml:space="preserve">If Client does not respond within the review period, the deliverables shall be deemed accepted.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8.04. </w:t>
      </w:r>
      <w:r>
        <w:rPr>
          <w:rFonts w:ascii="Open Sans" w:cs="Open Sans" w:eastAsia="Open Sans" w:hAnsi="Open Sans"/>
          <w:color w:val="59595B"/>
          <w:sz w:val="22"/>
          <w:szCs w:val="22"/>
        </w:rPr>
        <w:t xml:space="preserve">If deficiencies are identified, Technijian shall correct them and resubmit for review. This process shall repeat until acceptance is achieved or the Parties agree on a resolution.</w:t>
      </w:r>
    </w:p>
    <w:p>
      <w:pPr>
        <w:pStyle w:val="Heading2"/>
      </w:pPr>
      <w:r>
        <w:t xml:space="preserve">9. INTELLECTUAL PROPERTY</w:t>
      </w:r>
    </w:p>
    <w:p>
      <w:r>
        <w:rPr>
          <w:b/>
          <w:sz w:val="20"/>
        </w:rPr>
        <w:t xml:space="preserve">9.01. Ownership. </w:t>
      </w:r>
      <w:r>
        <w:rPr>
          <w:sz w:val="20"/>
        </w:rPr>
        <w:t xml:space="preserve">Unless otherwise specified in this SOW, ownership of deliverables shall be as follows: (a) all custom software, configurations, scripts, and documentation created specifically for Client under this SOW ("Custom Work Product") shall be owned by Client upon full payment; (b) Technijian retains ownership of all pre-existing tools, frameworks, libraries, methodologies, and general-purpose code used in the engagement ("Technijian Tools"); and (c) to the extent any Technijian Tools are incorporated into the Custom Work Product, Technijian hereby grants Client a non-exclusive, perpetual, royalty-free license to use such Technijian Tools solely as embedded in the delivered Custom Work Product.</w:t>
      </w:r>
    </w:p>
    <w:p>
      <w:r>
        <w:rPr>
          <w:b/>
          <w:sz w:val="20"/>
        </w:rPr>
        <w:t xml:space="preserve">9.02. Client License. </w:t>
      </w:r>
      <w:r>
        <w:rPr>
          <w:sz w:val="20"/>
        </w:rPr>
        <w:t xml:space="preserve">Client grants Technijian a limited, non-exclusive license to use Client's data, logos, trademarks, and materials solely as necessary to perform the services described in this SOW. This license terminates upon completion of the project or termination of this SOW.</w:t>
      </w:r>
    </w:p>
    <w:p>
      <w:r>
        <w:rPr>
          <w:b/>
          <w:sz w:val="20"/>
        </w:rPr>
        <w:t xml:space="preserve">9.03. IP Indemnity. </w:t>
      </w:r>
      <w:r>
        <w:rPr>
          <w:sz w:val="20"/>
        </w:rPr>
        <w:t xml:space="preserve">In the event any Custom Work Product is found to infringe a third party's intellectual property rights, Technijian shall, at its option and expense: (a) procure the right for Client to continue using the deliverable; (b) modify the deliverable to make it non-infringing; or (c) replace the deliverable with a non-infringing equivalent. This Section 9.03 states Technijian's sole obligation and Client's sole remedy for IP infringement claims related to deliverables.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10. GOVERNING TERMS</w:t>
      </w:r>
    </w:p>
    <w:p>
      <w:r>
        <w:rPr>
          <w:sz w:val="20"/>
        </w:rPr>
        <w:t>10.01. If a Master Service Agreement is in effect between the Parties, the terms of the MSA shall govern this SOW. In the event of a conflict between this SOW and the MSA, this SOW shall prevail with respect to the specific services described herein, consistent with the Order of Precedence set forth in MSA Section 1.08. For matters not addressed in this SOW, the MSA shall control.</w:t>
      </w:r>
    </w:p>
    <w:p>
      <w:pPr>
        <w:spacing w:after="120"/>
      </w:pPr>
      <w:r>
        <w:rPr>
          <w:rFonts w:ascii="Open Sans" w:cs="Open Sans" w:eastAsia="Open Sans" w:hAnsi="Open Sans"/>
          <w:color w:val="59595B"/>
          <w:sz w:val="22"/>
          <w:szCs w:val="22"/>
        </w:rPr>
        <w:t xml:space="preserve"/>
      </w:r>
    </w:p>
    <w:p>
      <w:r>
        <w:rPr>
          <w:sz w:val="20"/>
        </w:rPr>
        <w:t>10.02. If no MSA is in effect, the following terms shall govern this SOW: (a) Payment: All invoices are due within thirty (30) days; late payments accrue interest at 1.5% per month. (b) Confidentiality: Each Party shall hold the other's confidential information in confidence for three (3) years. (c) Limitation of Liability: Neither Party's total liability shall exceed the total fees paid or payable under this SOW. Neither Party shall be liable for indirect, consequential, or punitive damages. (d) Indemnification: Each Party shall indemnify the other against third-party claims arising from its gross negligence or willful misconduct. (e) Data Protection: To the extent Technijian processes personal information (as defined under the California Consumer Privacy Act) on behalf of Client, Technijian shall process such information only as necessary to perform the services, shall not sell or share personal information, shall notify Client of any security incident within seventy-two (72) hours, and shall cooperate with Client in responding to consumer rights requests. (f) Insurance: Technijian shall maintain Commercial General Liability ($1,000,000/$2,000,000), Professional Liability ($1,000,000/$2,000,000), and Cyber Liability ($1,000,000) insurance during the term. (g) Force Majeure: Neither Party shall be liable for delays caused by events beyond its reasonable control. (h) Governing Law: This SOW shall be governed by the laws of the State of California. Disputes shall be resolved in Orange County, California. (i) Termination: Either Party may terminate for material breach upon thirty (30) days' written notice if the breach is not cured. Client shall pay for all work completed through the date of termination.</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2026-03-10T00:19:27.117Z</dcterms:created>
  <dcterms:modified xsi:type="dcterms:W3CDTF">2026-03-10T00:19:27.117Z</dcterms:modified>
</cp:coreProperties>
</file>

<file path=docProps/custom.xml><?xml version="1.0" encoding="utf-8"?>
<Properties xmlns="http://schemas.openxmlformats.org/officeDocument/2006/custom-properties" xmlns:vt="http://schemas.openxmlformats.org/officeDocument/2006/docPropsVTypes"/>
</file>