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Open Sans" w:cs="Open Sans" w:eastAsia="Open Sans" w:hAnsi="Open Sans"/>
          <w:color w:val="59595B"/>
          <w:sz w:val="22"/>
          <w:szCs w:val="22"/>
        </w:rPr>
        <w:t xml:space="preserve"/>
      </w:r>
    </w:p>
    <w:p>
      <w:pPr>
        <w:spacing w:after="200"/>
        <w:jc w:val="center"/>
      </w:pPr>
      <w:r>
        <w:drawing>
          <wp:inline distT="0" distB="0" distL="0" distR="0">
            <wp:extent cx="2381250" cy="600075"/>
            <wp:effectExtent t="0" r="0" b="0" l="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600075"/>
                    </a:xfrm>
                    <a:prstGeom prst="rect">
                      <a:avLst/>
                    </a:prstGeom>
                  </pic:spPr>
                </pic:pic>
              </a:graphicData>
            </a:graphic>
          </wp:inline>
        </w:drawing>
      </w:r>
    </w:p>
    <w:p>
      <w:pPr>
        <w:spacing w:after="600"/>
      </w:pPr>
      <w:r>
        <w:rPr>
          <w:rFonts w:ascii="Open Sans" w:cs="Open Sans" w:eastAsia="Open Sans" w:hAnsi="Open Sans"/>
          <w:color w:val="59595B"/>
          <w:sz w:val="22"/>
          <w:szCs w:val="22"/>
        </w:rPr>
        <w:t xml:space="preserve"/>
      </w:r>
    </w:p>
    <w:p>
      <w:pPr>
        <w:pBdr>
          <w:bottom w:val="single" w:color="F67D4B" w:sz="2"/>
        </w:pBdr>
        <w:spacing w:after="100" w:before="100"/>
      </w:pPr>
    </w:p>
    <w:p>
      <w:pPr>
        <w:spacing w:after="200" w:before="400"/>
        <w:jc w:val="center"/>
      </w:pPr>
      <w:r>
        <w:rPr>
          <w:rFonts w:ascii="Open Sans" w:cs="Open Sans" w:eastAsia="Open Sans" w:hAnsi="Open Sans"/>
          <w:b/>
          <w:bCs/>
          <w:color w:val="1A1A2E"/>
          <w:sz w:val="48"/>
          <w:szCs w:val="48"/>
        </w:rPr>
        <w:t xml:space="preserve">Statement of Work</w:t>
      </w:r>
    </w:p>
    <w:p>
      <w:pPr>
        <w:spacing w:after="400"/>
        <w:jc w:val="center"/>
      </w:pPr>
      <w:r>
        <w:rPr>
          <w:rFonts w:ascii="Open Sans" w:cs="Open Sans" w:eastAsia="Open Sans" w:hAnsi="Open Sans"/>
          <w:color w:val="59595B"/>
          <w:sz w:val="24"/>
          <w:szCs w:val="24"/>
        </w:rPr>
        <w:t xml:space="preserve">VDI-to-Managed-Device Migration — American Fundstars Financial Group LLC</w:t>
      </w:r>
    </w:p>
    <w:p>
      <w:pPr>
        <w:pBdr>
          <w:bottom w:val="single" w:color="F67D4B" w:sz="2"/>
        </w:pBdr>
        <w:spacing w:after="100" w:before="100"/>
      </w:pPr>
    </w:p>
    <w:p>
      <w:pPr>
        <w:spacing w:after="600"/>
      </w:pPr>
      <w:r>
        <w:rPr>
          <w:rFonts w:ascii="Open Sans" w:cs="Open Sans" w:eastAsia="Open Sans" w:hAnsi="Open Sans"/>
          <w:color w:val="59595B"/>
          <w:sz w:val="22"/>
          <w:szCs w:val="22"/>
        </w:rPr>
        <w:t xml:space="preserve"/>
      </w:r>
    </w:p>
    <w:p>
      <w:pPr>
        <w:spacing w:after="200"/>
        <w:jc w:val="center"/>
      </w:pPr>
      <w:r>
        <w:rPr>
          <w:rFonts w:ascii="Open Sans" w:cs="Open Sans" w:eastAsia="Open Sans" w:hAnsi="Open Sans"/>
          <w:color w:val="59595B"/>
          <w:sz w:val="22"/>
          <w:szCs w:val="22"/>
        </w:rPr>
        <w:t xml:space="preserve">Rev 1 – May 1, 2026</w:t>
      </w:r>
    </w:p>
    <w:p>
      <w:pPr>
        <w:spacing w:after="400"/>
      </w:pPr>
      <w:r>
        <w:rPr>
          <w:rFonts w:ascii="Open Sans" w:cs="Open Sans" w:eastAsia="Open Sans" w:hAnsi="Open Sans"/>
          <w:color w:val="59595B"/>
          <w:sz w:val="22"/>
          <w:szCs w:val="22"/>
        </w:rPr>
        <w:t xml:space="preserve"/>
      </w:r>
    </w:p>
    <w:p>
      <w:pPr>
        <w:jc w:val="center"/>
      </w:pPr>
      <w:r>
        <w:rPr>
          <w:rFonts w:ascii="Open Sans" w:cs="Open Sans" w:eastAsia="Open Sans" w:hAnsi="Open Sans"/>
          <w:b/>
          <w:bCs/>
          <w:color w:val="1A1A2E"/>
          <w:sz w:val="22"/>
          <w:szCs w:val="22"/>
        </w:rPr>
        <w:t xml:space="preserve">Technijian, Inc.</w:t>
      </w:r>
    </w:p>
    <w:p>
      <w:pPr>
        <w:jc w:val="center"/>
      </w:pPr>
      <w:r>
        <w:rPr>
          <w:rFonts w:ascii="Open Sans" w:cs="Open Sans" w:eastAsia="Open Sans" w:hAnsi="Open Sans"/>
          <w:color w:val="59595B"/>
          <w:sz w:val="20"/>
          <w:szCs w:val="20"/>
        </w:rPr>
        <w:t xml:space="preserve">18 Technology Dr., Ste 141  |  Irvine, CA 92618  |  949.379.8499</w:t>
      </w:r>
    </w:p>
    <w:p>
      <w:r>
        <w:br w:type="page"/>
      </w:r>
    </w:p>
    <w:p>
      <w:pPr>
        <w:sectPr>
          <w:pgSz w:w="12240" w:h="15840" w:orient="portrait"/>
          <w:pgMar w:top="1440" w:right="1440" w:bottom="1440" w:left="1440" w:header="708" w:footer="708" w:gutter="0"/>
          <w:pgNumType/>
          <w:docGrid w:linePitch="360"/>
        </w:sectPr>
      </w:pPr>
    </w:p>
    <w:p>
      <w:pPr>
        <w:pStyle w:val="Heading1"/>
      </w:pPr>
      <w:r>
        <w:rPr>
          <w:rFonts w:ascii="Open Sans" w:hAnsi="Open Sans" w:cs="Open Sans" w:eastAsia="Open Sans"/>
          <w:color w:val="59595B"/>
          <w:sz w:val="22"/>
          <w:szCs w:val="22"/>
        </w:rPr>
        <w:t xml:space="preserve">STATEMENT OF WORK</w:t>
      </w:r>
    </w:p>
    <w:p>
      <w:r>
        <w:rPr>
          <w:rFonts w:ascii="Open Sans" w:hAnsi="Open Sans" w:cs="Open Sans" w:eastAsia="Open Sans"/>
          <w:b/>
          <w:bCs/>
          <w:color w:val="1A1A2E"/>
          <w:sz w:val="22"/>
          <w:szCs w:val="22"/>
        </w:rPr>
        <w:t xml:space="preserve">SOW Number: </w:t>
      </w:r>
      <w:r>
        <w:rPr>
          <w:rFonts w:ascii="Open Sans" w:hAnsi="Open Sans" w:cs="Open Sans" w:eastAsia="Open Sans"/>
          <w:color w:val="59595B"/>
          <w:sz w:val="22"/>
          <w:szCs w:val="22"/>
        </w:rPr>
        <w:t xml:space="preserve">SOW-AFFG-004 Rev 1</w:t>
      </w:r>
    </w:p>
    <w:p>
      <w:r>
        <w:rPr>
          <w:rFonts w:ascii="Open Sans" w:hAnsi="Open Sans" w:cs="Open Sans" w:eastAsia="Open Sans"/>
          <w:b/>
          <w:bCs/>
          <w:color w:val="1A1A2E"/>
          <w:sz w:val="22"/>
          <w:szCs w:val="22"/>
        </w:rPr>
        <w:t xml:space="preserve">Title: </w:t>
      </w:r>
      <w:r>
        <w:rPr>
          <w:rFonts w:ascii="Open Sans" w:hAnsi="Open Sans" w:cs="Open Sans" w:eastAsia="Open Sans"/>
          <w:color w:val="59595B"/>
          <w:sz w:val="22"/>
          <w:szCs w:val="22"/>
        </w:rPr>
        <w:t xml:space="preserve">VDI-to-Managed-Device Migration</w:t>
      </w:r>
    </w:p>
    <w:p>
      <w:r>
        <w:rPr>
          <w:rFonts w:ascii="Open Sans" w:hAnsi="Open Sans" w:cs="Open Sans" w:eastAsia="Open Sans"/>
          <w:b/>
          <w:bCs/>
          <w:color w:val="1A1A2E"/>
          <w:sz w:val="22"/>
          <w:szCs w:val="22"/>
        </w:rPr>
        <w:t xml:space="preserve">Effective Date: </w:t>
      </w:r>
      <w:r>
        <w:rPr>
          <w:rFonts w:ascii="Open Sans" w:hAnsi="Open Sans" w:cs="Open Sans" w:eastAsia="Open Sans"/>
          <w:color w:val="59595B"/>
          <w:sz w:val="22"/>
          <w:szCs w:val="22"/>
        </w:rPr>
        <w:t xml:space="preserve">May 1, 2026</w:t>
      </w:r>
    </w:p>
    <w:p>
      <w:r>
        <w:rPr>
          <w:rFonts w:ascii="Open Sans" w:hAnsi="Open Sans" w:cs="Open Sans" w:eastAsia="Open Sans"/>
          <w:b/>
          <w:bCs/>
          <w:color w:val="1A1A2E"/>
          <w:sz w:val="22"/>
          <w:szCs w:val="22"/>
        </w:rPr>
        <w:t xml:space="preserve">Supersedes: </w:t>
      </w:r>
      <w:r>
        <w:rPr>
          <w:rFonts w:ascii="Open Sans" w:hAnsi="Open Sans" w:cs="Open Sans" w:eastAsia="Open Sans"/>
          <w:color w:val="59595B"/>
          <w:sz w:val="22"/>
          <w:szCs w:val="22"/>
        </w:rPr>
        <w:t xml:space="preserve">SOW-AFFG-004 (original, April 2026)</w:t>
      </w:r>
    </w:p>
    <w:p>
      <w:r>
        <w:rPr>
          <w:rFonts w:ascii="Open Sans" w:hAnsi="Open Sans" w:cs="Open Sans" w:eastAsia="Open Sans"/>
          <w:b/>
          <w:bCs/>
          <w:color w:val="1A1A2E"/>
          <w:sz w:val="22"/>
          <w:szCs w:val="22"/>
        </w:rPr>
        <w:t xml:space="preserve">Parent Agreement: </w:t>
      </w:r>
      <w:r>
        <w:rPr>
          <w:rFonts w:ascii="Open Sans" w:hAnsi="Open Sans" w:cs="Open Sans" w:eastAsia="Open Sans"/>
          <w:color w:val="59595B"/>
          <w:sz w:val="22"/>
          <w:szCs w:val="22"/>
        </w:rPr>
        <w:t xml:space="preserve">MSA-AFFG-2026</w:t>
      </w:r>
    </w:p>
    <w:p>
      <w:r>
        <w:rPr>
          <w:rFonts w:ascii="Open Sans" w:hAnsi="Open Sans" w:cs="Open Sans" w:eastAsia="Open Sans"/>
          <w:b/>
          <w:bCs/>
          <w:color w:val="1A1A2E"/>
          <w:sz w:val="22"/>
          <w:szCs w:val="22"/>
        </w:rPr>
        <w:t xml:space="preserve">Primary Contact: </w:t>
      </w:r>
      <w:r>
        <w:rPr>
          <w:rFonts w:ascii="Open Sans" w:hAnsi="Open Sans" w:cs="Open Sans" w:eastAsia="Open Sans"/>
          <w:color w:val="59595B"/>
          <w:sz w:val="22"/>
          <w:szCs w:val="22"/>
        </w:rPr>
        <w:t xml:space="preserve">Iris Liu  |  iris.liu@americanfundstars.com  |  949-439-2392</w:t>
      </w:r>
    </w:p>
    <w:p>
      <w:r>
        <w:rPr>
          <w:rFonts w:ascii="Open Sans" w:hAnsi="Open Sans" w:cs="Open Sans" w:eastAsia="Open Sans"/>
          <w:b/>
          <w:bCs/>
          <w:color w:val="1A1A2E"/>
          <w:sz w:val="22"/>
          <w:szCs w:val="22"/>
        </w:rPr>
        <w:t xml:space="preserve">Source: </w:t>
      </w:r>
      <w:r>
        <w:rPr>
          <w:rFonts w:ascii="Open Sans" w:hAnsi="Open Sans" w:cs="Open Sans" w:eastAsia="Open Sans"/>
          <w:color w:val="59595B"/>
          <w:sz w:val="22"/>
          <w:szCs w:val="22"/>
        </w:rPr>
        <w:t xml:space="preserve">AFFG Managed Device Strategy (REF: AFFG-MDS-2026-04-Rev1, April 2026)</w:t>
      </w:r>
    </w:p>
    <w:p>
      <w:r>
        <w:rPr>
          <w:rFonts w:ascii="Open Sans" w:hAnsi="Open Sans" w:cs="Open Sans" w:eastAsia="Open Sans"/>
          <w:b/>
          <w:bCs/>
          <w:color w:val="1A1A2E"/>
          <w:sz w:val="22"/>
          <w:szCs w:val="22"/>
        </w:rPr>
        <w:t xml:space="preserve">Regulatory Scope: </w:t>
      </w:r>
      <w:r>
        <w:rPr>
          <w:rFonts w:ascii="Open Sans" w:hAnsi="Open Sans" w:cs="Open Sans" w:eastAsia="Open Sans"/>
          <w:color w:val="59595B"/>
          <w:sz w:val="22"/>
          <w:szCs w:val="22"/>
        </w:rPr>
        <w:t xml:space="preserve">SEC Reg S-P (2024), FINRA 3110, FINRA 4370, SEC 17a-4, NIST SP 800-53 Rev 5</w:t>
      </w:r>
    </w:p>
    <w:p/>
    <w:p>
      <w:pPr>
        <w:spacing w:before="0" w:after="120"/>
      </w:pPr>
      <w:r>
        <w:rPr>
          <w:rFonts w:ascii="Open Sans" w:hAnsi="Open Sans" w:cs="Open Sans" w:eastAsia="Open Sans"/>
          <w:color w:val="59595B"/>
          <w:sz w:val="22"/>
          <w:szCs w:val="22"/>
        </w:rPr>
        <w:t xml:space="preserve">This Statement of Work (“SOW”) is entered into by and between Technijian, Inc. (“Technijian”), 18 Technology Drive, Suite 141, Irvine, California 92618 and American Fundstars Financial Group LLC (“Client” or “AFFG”), 1 Park Plaza, Suite 210, Irvine, California 92618. Primary Contact: Iris Liu.</w:t>
      </w:r>
    </w:p>
    <w:p>
      <w:pPr>
        <w:spacing w:before="0" w:after="120"/>
      </w:pPr>
      <w:r>
        <w:rPr>
          <w:rFonts w:ascii="Open Sans" w:hAnsi="Open Sans" w:cs="Open Sans" w:eastAsia="Open Sans"/>
          <w:color w:val="59595B"/>
          <w:sz w:val="22"/>
          <w:szCs w:val="22"/>
        </w:rPr>
        <w:t xml:space="preserve">Supersedes: SOW-AFFG-003 (IT Compliance &amp; VDI Implementation). Upon completion of this SOW, the Horizon VDI infrastructure deployed under SOW-AFFG-003 Phase 1 will be decommissioned. All compliance controls previously enforced via VDI are migrated to managed endpoints with CloudBrink ZTNA. The monthly recurring charges in Schedule A of MSA-AFFG-2026 will be amended per Section 8 of this SOW.</w:t>
      </w:r>
    </w:p>
    <w:p>
      <w:pPr>
        <w:spacing w:before="0" w:after="120"/>
      </w:pPr>
      <w:r>
        <w:rPr>
          <w:rFonts w:ascii="Open Sans" w:hAnsi="Open Sans" w:cs="Open Sans" w:eastAsia="Open Sans"/>
          <w:color w:val="59595B"/>
          <w:sz w:val="22"/>
          <w:szCs w:val="22"/>
        </w:rPr>
        <w:t xml:space="preserve">Revision Notes (Rev 1): (1) BYOD MAM-only replaces company phone MDM enrollment; (2) device fleet corrected to 4 Mac Mini (Apple ABM) + 6 Windows laptops; (3) SSO/2FA Gateway product removed — Azure Entra ID SSO used instead; (4) CloudBrink ZTNA replaces Cisco Umbrella; (5) custodian portal access controlled via office WAN IP whitelist + CloudBrink egress IP for remote laptop access.</w:t>
      </w:r>
    </w:p>
    <w:p>
      <w:pPr>
        <w:pStyle w:val="Heading1"/>
      </w:pPr>
      <w:r>
        <w:rPr>
          <w:rFonts w:ascii="Open Sans" w:hAnsi="Open Sans" w:cs="Open Sans" w:eastAsia="Open Sans"/>
          <w:color w:val="59595B"/>
          <w:sz w:val="22"/>
          <w:szCs w:val="22"/>
        </w:rPr>
        <w:t xml:space="preserve">1. PROJECT OVERVIEW</w:t>
      </w:r>
    </w:p>
    <w:p>
      <w:pPr>
        <w:spacing w:before="0" w:after="120"/>
      </w:pPr>
      <w:r>
        <w:rPr>
          <w:rFonts w:ascii="Open Sans" w:hAnsi="Open Sans" w:cs="Open Sans" w:eastAsia="Open Sans"/>
          <w:color w:val="59595B"/>
          <w:sz w:val="22"/>
          <w:szCs w:val="22"/>
        </w:rPr>
        <w:t xml:space="preserve">Technijian will deliver a 6-phase implementation that migrates AFFG from the Technijian Horizon VDI environment (deployed under SOW-AFFG-003) to a managed-device model using 4 Mac Mini desktops and 6 Windows laptops enrolled in Microsoft Intune, with CloudBrink Zero Trust Network Access (ZTNA) replacing both the VDI egress IP whitelist and Cisco Umbrella. Mobile access is handled via BYOD with Intune MAM-only (Outlook App). This migration maintains the identical SEC/FINRA compliance posture established under SOW-AFFG-003 while eliminating VDI hosting costs and improving user experience.</w:t>
      </w:r>
    </w:p>
    <w:p>
      <w:pPr>
        <w:pStyle w:val="Heading2"/>
      </w:pPr>
      <w:r>
        <w:rPr>
          <w:rFonts w:ascii="Open Sans" w:hAnsi="Open Sans" w:cs="Open Sans" w:eastAsia="Open Sans"/>
          <w:color w:val="59595B"/>
          <w:sz w:val="22"/>
          <w:szCs w:val="22"/>
        </w:rPr>
        <w:t xml:space="preserve">1.1 Objectives</w:t>
      </w:r>
    </w:p>
    <w:p>
      <w:pPr>
        <w:pStyle w:val="ListParagraph"/>
        <w:numPr>
          <w:ilvl w:val="0"/>
          <w:numId w:val="2"/>
        </w:numPr>
        <w:spacing w:before="40" w:after="40"/>
      </w:pPr>
      <w:r>
        <w:rPr>
          <w:rFonts w:ascii="Open Sans" w:hAnsi="Open Sans" w:cs="Open Sans" w:eastAsia="Open Sans"/>
          <w:color w:val="59595B"/>
          <w:sz w:val="22"/>
          <w:szCs w:val="22"/>
        </w:rPr>
        <w:t xml:space="preserve">Enroll 4 Mac Mini (Apple Business Manager) and 6 Windows laptops (Autopilot) in Microsoft Intune with full endpoint security stack</w:t>
      </w:r>
    </w:p>
    <w:p>
      <w:pPr>
        <w:pStyle w:val="ListParagraph"/>
        <w:numPr>
          <w:ilvl w:val="0"/>
          <w:numId w:val="2"/>
        </w:numPr>
        <w:spacing w:before="40" w:after="40"/>
      </w:pPr>
      <w:r>
        <w:rPr>
          <w:rFonts w:ascii="Open Sans" w:hAnsi="Open Sans" w:cs="Open Sans" w:eastAsia="Open Sans"/>
          <w:color w:val="59595B"/>
          <w:sz w:val="22"/>
          <w:szCs w:val="22"/>
        </w:rPr>
        <w:t xml:space="preserve">Deploy CloudBrink ZTNA to replace VDI egress IP and Cisco Umbrella; whitelist CloudBrink egress IP at Schwab Advisor Services and IBKR</w:t>
      </w:r>
    </w:p>
    <w:p>
      <w:pPr>
        <w:pStyle w:val="ListParagraph"/>
        <w:numPr>
          <w:ilvl w:val="0"/>
          <w:numId w:val="2"/>
        </w:numPr>
        <w:spacing w:before="40" w:after="40"/>
      </w:pPr>
      <w:r>
        <w:rPr>
          <w:rFonts w:ascii="Open Sans" w:hAnsi="Open Sans" w:cs="Open Sans" w:eastAsia="Open Sans"/>
          <w:color w:val="59595B"/>
          <w:sz w:val="22"/>
          <w:szCs w:val="22"/>
        </w:rPr>
        <w:t xml:space="preserve">Configure Entra ID Conditional Access: named location policy (office WAN IP) + Intune-compliant device requirement for M365</w:t>
      </w:r>
    </w:p>
    <w:p>
      <w:pPr>
        <w:pStyle w:val="ListParagraph"/>
        <w:numPr>
          <w:ilvl w:val="0"/>
          <w:numId w:val="2"/>
        </w:numPr>
        <w:spacing w:before="40" w:after="40"/>
      </w:pPr>
      <w:r>
        <w:rPr>
          <w:rFonts w:ascii="Open Sans" w:hAnsi="Open Sans" w:cs="Open Sans" w:eastAsia="Open Sans"/>
          <w:color w:val="59595B"/>
          <w:sz w:val="22"/>
          <w:szCs w:val="22"/>
        </w:rPr>
        <w:t xml:space="preserve">Configure BYOD Intune MAM (Outlook App) for employee personal mobile devices — no MDM enrollment required</w:t>
      </w:r>
    </w:p>
    <w:p>
      <w:pPr>
        <w:pStyle w:val="ListParagraph"/>
        <w:numPr>
          <w:ilvl w:val="0"/>
          <w:numId w:val="2"/>
        </w:numPr>
        <w:spacing w:before="40" w:after="40"/>
      </w:pPr>
      <w:r>
        <w:rPr>
          <w:rFonts w:ascii="Open Sans" w:hAnsi="Open Sans" w:cs="Open Sans" w:eastAsia="Open Sans"/>
          <w:color w:val="59595B"/>
          <w:sz w:val="22"/>
          <w:szCs w:val="22"/>
        </w:rPr>
        <w:t xml:space="preserve">Migrate MyAudit UAM+DLP and Credential Manager from VDI to all 10 managed endpoints</w:t>
      </w:r>
    </w:p>
    <w:p>
      <w:pPr>
        <w:pStyle w:val="ListParagraph"/>
        <w:numPr>
          <w:ilvl w:val="0"/>
          <w:numId w:val="2"/>
        </w:numPr>
        <w:spacing w:before="40" w:after="40"/>
      </w:pPr>
      <w:r>
        <w:rPr>
          <w:rFonts w:ascii="Open Sans" w:hAnsi="Open Sans" w:cs="Open Sans" w:eastAsia="Open Sans"/>
          <w:color w:val="59595B"/>
          <w:sz w:val="22"/>
          <w:szCs w:val="22"/>
        </w:rPr>
        <w:t xml:space="preserve">Execute controlled VDI-to-managed-device migration with 2-week parallel operation window</w:t>
      </w:r>
    </w:p>
    <w:p>
      <w:pPr>
        <w:pStyle w:val="ListParagraph"/>
        <w:numPr>
          <w:ilvl w:val="0"/>
          <w:numId w:val="2"/>
        </w:numPr>
        <w:spacing w:before="40" w:after="40"/>
      </w:pPr>
      <w:r>
        <w:rPr>
          <w:rFonts w:ascii="Open Sans" w:hAnsi="Open Sans" w:cs="Open Sans" w:eastAsia="Open Sans"/>
          <w:color w:val="59595B"/>
          <w:sz w:val="22"/>
          <w:szCs w:val="22"/>
        </w:rPr>
        <w:t xml:space="preserve">Decommission Horizon VDI infrastructure and amend Schedule A for monthly savings</w:t>
      </w:r>
    </w:p>
    <w:p>
      <w:pPr>
        <w:pStyle w:val="Heading2"/>
      </w:pPr>
      <w:r>
        <w:rPr>
          <w:rFonts w:ascii="Open Sans" w:hAnsi="Open Sans" w:cs="Open Sans" w:eastAsia="Open Sans"/>
          <w:color w:val="59595B"/>
          <w:sz w:val="22"/>
          <w:szCs w:val="22"/>
        </w:rPr>
        <w:t xml:space="preserve">1.2 Exclusions</w:t>
      </w:r>
    </w:p>
    <w:p>
      <w:pPr>
        <w:pStyle w:val="ListParagraph"/>
        <w:numPr>
          <w:ilvl w:val="0"/>
          <w:numId w:val="2"/>
        </w:numPr>
        <w:spacing w:before="40" w:after="40"/>
      </w:pPr>
      <w:r>
        <w:rPr>
          <w:rFonts w:ascii="Open Sans" w:hAnsi="Open Sans" w:cs="Open Sans" w:eastAsia="Open Sans"/>
          <w:color w:val="59595B"/>
          <w:sz w:val="22"/>
          <w:szCs w:val="22"/>
        </w:rPr>
        <w:t xml:space="preserve">CloudBrink per-user subscription licensing (procured directly by AFFG)</w:t>
      </w:r>
    </w:p>
    <w:p>
      <w:pPr>
        <w:pStyle w:val="ListParagraph"/>
        <w:numPr>
          <w:ilvl w:val="0"/>
          <w:numId w:val="2"/>
        </w:numPr>
        <w:spacing w:before="40" w:after="40"/>
      </w:pPr>
      <w:r>
        <w:rPr>
          <w:rFonts w:ascii="Open Sans" w:hAnsi="Open Sans" w:cs="Open Sans" w:eastAsia="Open Sans"/>
          <w:color w:val="59595B"/>
          <w:sz w:val="22"/>
          <w:szCs w:val="22"/>
        </w:rPr>
        <w:t xml:space="preserve">Hardware procurement (AFFG provides Mac Mini desktops and Windows laptops)</w:t>
      </w:r>
    </w:p>
    <w:p>
      <w:pPr>
        <w:pStyle w:val="ListParagraph"/>
        <w:numPr>
          <w:ilvl w:val="0"/>
          <w:numId w:val="2"/>
        </w:numPr>
        <w:spacing w:before="40" w:after="40"/>
      </w:pPr>
      <w:r>
        <w:rPr>
          <w:rFonts w:ascii="Open Sans" w:hAnsi="Open Sans" w:cs="Open Sans" w:eastAsia="Open Sans"/>
          <w:color w:val="59595B"/>
          <w:sz w:val="22"/>
          <w:szCs w:val="22"/>
        </w:rPr>
        <w:t xml:space="preserve">Microsoft 365 license costs (AFFG procures directly — E3 or E5 required)</w:t>
      </w:r>
    </w:p>
    <w:p>
      <w:pPr>
        <w:pStyle w:val="ListParagraph"/>
        <w:numPr>
          <w:ilvl w:val="0"/>
          <w:numId w:val="2"/>
        </w:numPr>
        <w:spacing w:before="40" w:after="40"/>
      </w:pPr>
      <w:r>
        <w:rPr>
          <w:rFonts w:ascii="Open Sans" w:hAnsi="Open Sans" w:cs="Open Sans" w:eastAsia="Open Sans"/>
          <w:color w:val="59595B"/>
          <w:sz w:val="22"/>
          <w:szCs w:val="22"/>
        </w:rPr>
        <w:t xml:space="preserve">Technijian My Archive (AFFG operates own email-archiving platform)</w:t>
      </w:r>
    </w:p>
    <w:p>
      <w:pPr>
        <w:pStyle w:val="ListParagraph"/>
        <w:numPr>
          <w:ilvl w:val="0"/>
          <w:numId w:val="2"/>
        </w:numPr>
        <w:spacing w:before="40" w:after="40"/>
      </w:pPr>
      <w:r>
        <w:rPr>
          <w:rFonts w:ascii="Open Sans" w:hAnsi="Open Sans" w:cs="Open Sans" w:eastAsia="Open Sans"/>
          <w:color w:val="59595B"/>
          <w:sz w:val="22"/>
          <w:szCs w:val="22"/>
        </w:rPr>
        <w:t xml:space="preserve">Company-owned mobile phones and MDM enrollment thereof (BYOD model adopted)</w:t>
      </w:r>
    </w:p>
    <w:p>
      <w:pPr>
        <w:pStyle w:val="Heading1"/>
      </w:pPr>
      <w:r>
        <w:rPr>
          <w:rFonts w:ascii="Open Sans" w:hAnsi="Open Sans" w:cs="Open Sans" w:eastAsia="Open Sans"/>
          <w:color w:val="59595B"/>
          <w:sz w:val="22"/>
          <w:szCs w:val="22"/>
        </w:rPr>
        <w:t xml:space="preserve">2. IMPLEMENTATION SCOPE</w:t>
      </w:r>
    </w:p>
    <w:p>
      <w:pPr>
        <w:pStyle w:val="Heading2"/>
      </w:pPr>
      <w:r>
        <w:rPr>
          <w:rFonts w:ascii="Open Sans" w:hAnsi="Open Sans" w:cs="Open Sans" w:eastAsia="Open Sans"/>
          <w:color w:val="59595B"/>
          <w:sz w:val="22"/>
          <w:szCs w:val="22"/>
        </w:rPr>
        <w:t xml:space="preserve">Phase 1: Endpoint Foundation (Weeks 1–4)</w:t>
      </w:r>
    </w:p>
    <w:p>
      <w:pPr>
        <w:spacing w:before="0" w:after="120"/>
      </w:pPr>
      <w:r>
        <w:rPr>
          <w:rFonts w:ascii="Open Sans" w:hAnsi="Open Sans" w:cs="Open Sans" w:eastAsia="Open Sans"/>
          <w:color w:val="59595B"/>
          <w:sz w:val="22"/>
          <w:szCs w:val="22"/>
        </w:rPr>
        <w:t xml:space="preserve">7 tickets  |  24 hours</w:t>
      </w:r>
    </w:p>
    <w:p>
      <w:pPr>
        <w:spacing w:before="0" w:after="120"/>
      </w:pPr>
      <w:r>
        <w:rPr>
          <w:rFonts w:ascii="Open Sans" w:hAnsi="Open Sans" w:cs="Open Sans" w:eastAsia="Open Sans"/>
          <w:color w:val="59595B"/>
          <w:sz w:val="22"/>
          <w:szCs w:val="22"/>
        </w:rPr>
        <w:t xml:space="preserve">Configure Intune Autopilot (Windows) and Apple Business Manager (Mac). Set compliance policies and device configuration profiles. Enroll and image all 10 endpoints. Deploy full security stack (CrowdStrike, Huntress, CloudBrink agent, DNS, Patch Mgmt, ScreenConnect), MyAudit UAM+DLP, and Credential Manager on all managed endpoints.</w:t>
      </w:r>
    </w:p>
    <w:p>
      <w:pPr>
        <w:pStyle w:val="Heading3"/>
      </w:pPr>
      <w:r>
        <w:rPr>
          <w:rFonts w:ascii="Open Sans" w:hAnsi="Open Sans" w:cs="Open Sans" w:eastAsia="Open Sans"/>
          <w:color w:val="59595B"/>
          <w:sz w:val="22"/>
          <w:szCs w:val="22"/>
        </w:rPr>
        <w:t xml:space="preserve">Phase 1 Tickets</w:t>
      </w:r>
    </w:p>
    <w:tbl>
      <w:tblPr>
        <w:tblW w:w="8360" w:type="dxa"/>
      </w:tblPr>
      <w:tblGrid>
        <w:gridCol w:w="1600"/>
        <w:gridCol w:w="4200"/>
        <w:gridCol w:w="1600"/>
        <w:gridCol w:w="960"/>
      </w:tblGrid>
      <w:tr>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Ticket</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Title</w:t>
            </w:r>
          </w:p>
        </w:tc>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Assigned To</w:t>
            </w:r>
          </w:p>
        </w:tc>
        <w:tc>
          <w:tcPr>
            <w:tcW w:w="9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Est. Hours</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AFFG-004-001</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Intune Autopilot Configuration &amp; Enrollment Profiles (Windows)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AFFG-004-002</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Apple Business Manager (ABM) MDM Configuration (Mac Mini)</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AFFG-004-003</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Intune Device Compliance &amp; Configuration Policies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AFFG-004-004</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Windows Laptop Autopilot Enrollment &amp; Imaging – 6 Devices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AFFG-004-005</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Mac Mini ABM Enrollment &amp; Imaging – 4 Devices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AFFG-004-006</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Endpoint Security Stack Deployment – All 10 Endpoints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AFFG-004-007</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MyAudit UAM+DLP &amp; Credential Manager Deployment – All 10 Endpoints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Phase Total</w:t>
            </w:r>
          </w:p>
        </w:tc>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9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24</w:t>
            </w:r>
          </w:p>
        </w:tc>
      </w:tr>
    </w:tbl>
    <w:p/>
    <w:p>
      <w:pPr>
        <w:pStyle w:val="Heading2"/>
      </w:pPr>
      <w:r>
        <w:rPr>
          <w:rFonts w:ascii="Open Sans" w:hAnsi="Open Sans" w:cs="Open Sans" w:eastAsia="Open Sans"/>
          <w:color w:val="59595B"/>
          <w:sz w:val="22"/>
          <w:szCs w:val="22"/>
        </w:rPr>
        <w:t xml:space="preserve">Phase 2: Access Control (Weeks 3–6)</w:t>
      </w:r>
    </w:p>
    <w:p>
      <w:pPr>
        <w:spacing w:before="0" w:after="120"/>
      </w:pPr>
      <w:r>
        <w:rPr>
          <w:rFonts w:ascii="Open Sans" w:hAnsi="Open Sans" w:cs="Open Sans" w:eastAsia="Open Sans"/>
          <w:color w:val="59595B"/>
          <w:sz w:val="22"/>
          <w:szCs w:val="22"/>
        </w:rPr>
        <w:t xml:space="preserve">5 tickets  |  16 hours</w:t>
      </w:r>
    </w:p>
    <w:p>
      <w:pPr>
        <w:spacing w:before="0" w:after="120"/>
      </w:pPr>
      <w:r>
        <w:rPr>
          <w:rFonts w:ascii="Open Sans" w:hAnsi="Open Sans" w:cs="Open Sans" w:eastAsia="Open Sans"/>
          <w:color w:val="59595B"/>
          <w:sz w:val="22"/>
          <w:szCs w:val="22"/>
        </w:rPr>
        <w:t xml:space="preserve">Configure Entra ID Conditional Access (named location policy for office WAN IP, Intune-compliant device requirement, legacy auth block, MFA enforcement). Deploy CloudBrink ZTNA (tenant, connector, agent on all 10 endpoints, per-app micro-segmentation). Whitelist CloudBrink egress IP at Schwab Advisor Services and IBKR, replacing the former VDI egress IP. Cisco Umbrella decommissioned.</w:t>
      </w:r>
    </w:p>
    <w:p>
      <w:pPr>
        <w:pStyle w:val="Heading3"/>
      </w:pPr>
      <w:r>
        <w:rPr>
          <w:rFonts w:ascii="Open Sans" w:hAnsi="Open Sans" w:cs="Open Sans" w:eastAsia="Open Sans"/>
          <w:color w:val="59595B"/>
          <w:sz w:val="22"/>
          <w:szCs w:val="22"/>
        </w:rPr>
        <w:t xml:space="preserve">Phase 2 Tickets</w:t>
      </w:r>
    </w:p>
    <w:tbl>
      <w:tblPr>
        <w:tblW w:w="8360" w:type="dxa"/>
      </w:tblPr>
      <w:tblGrid>
        <w:gridCol w:w="1600"/>
        <w:gridCol w:w="4200"/>
        <w:gridCol w:w="1600"/>
        <w:gridCol w:w="960"/>
      </w:tblGrid>
      <w:tr>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Ticket</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Title</w:t>
            </w:r>
          </w:p>
        </w:tc>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Assigned To</w:t>
            </w:r>
          </w:p>
        </w:tc>
        <w:tc>
          <w:tcPr>
            <w:tcW w:w="9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Est. Hours</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AFFG-004-008</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Conditional Access Policy Suite (Named Location + Compliant Device + MFA)</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AFFG-004-009</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CloudBrink ZTNA Tenant &amp; Connector Setup</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AFFG-004-010</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CloudBrink Agent Deployment – All 10 Managed Endpoints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AFFG-004-011</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CloudBrink Access Policies &amp; Micro-Segmentation</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AFFG-004-012</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Schwab &amp; IBKR Access Migration (VDI Egress IP → CloudBrink Egress IP)</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Phase Total</w:t>
            </w:r>
          </w:p>
        </w:tc>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9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16</w:t>
            </w:r>
          </w:p>
        </w:tc>
      </w:tr>
    </w:tbl>
    <w:p/>
    <w:p>
      <w:pPr>
        <w:pStyle w:val="Heading2"/>
      </w:pPr>
      <w:r>
        <w:rPr>
          <w:rFonts w:ascii="Open Sans" w:hAnsi="Open Sans" w:cs="Open Sans" w:eastAsia="Open Sans"/>
          <w:color w:val="59595B"/>
          <w:sz w:val="22"/>
          <w:szCs w:val="22"/>
        </w:rPr>
        <w:t xml:space="preserve">Phase 3: Mobile BYOD – MAM Configuration (Weeks 5–7)</w:t>
      </w:r>
    </w:p>
    <w:p>
      <w:pPr>
        <w:spacing w:before="0" w:after="120"/>
      </w:pPr>
      <w:r>
        <w:rPr>
          <w:rFonts w:ascii="Open Sans" w:hAnsi="Open Sans" w:cs="Open Sans" w:eastAsia="Open Sans"/>
          <w:color w:val="59595B"/>
          <w:sz w:val="22"/>
          <w:szCs w:val="22"/>
        </w:rPr>
        <w:t xml:space="preserve">2 tickets  |  4 hours</w:t>
      </w:r>
    </w:p>
    <w:p>
      <w:pPr>
        <w:spacing w:before="0" w:after="120"/>
      </w:pPr>
      <w:r>
        <w:rPr>
          <w:rFonts w:ascii="Open Sans" w:hAnsi="Open Sans" w:cs="Open Sans" w:eastAsia="Open Sans"/>
          <w:color w:val="59595B"/>
          <w:sz w:val="22"/>
          <w:szCs w:val="22"/>
        </w:rPr>
        <w:t xml:space="preserve">Configure Intune App Protection (MAM) policies for BYOD personal devices. No MDM enrollment required. Employees install the Outlook App from their personal app store; MAM policies containerize corporate data, enforce app PIN, and enable selective corporate data wipe without touching personal content. Full M365 browser access from mobile is restricted to Intune-compliant managed devices via Conditional Access.</w:t>
      </w:r>
    </w:p>
    <w:p>
      <w:pPr>
        <w:pStyle w:val="Heading3"/>
      </w:pPr>
      <w:r>
        <w:rPr>
          <w:rFonts w:ascii="Open Sans" w:hAnsi="Open Sans" w:cs="Open Sans" w:eastAsia="Open Sans"/>
          <w:color w:val="59595B"/>
          <w:sz w:val="22"/>
          <w:szCs w:val="22"/>
        </w:rPr>
        <w:t xml:space="preserve">Phase 3 Tickets</w:t>
      </w:r>
    </w:p>
    <w:tbl>
      <w:tblPr>
        <w:tblW w:w="8360" w:type="dxa"/>
      </w:tblPr>
      <w:tblGrid>
        <w:gridCol w:w="1600"/>
        <w:gridCol w:w="4200"/>
        <w:gridCol w:w="1600"/>
        <w:gridCol w:w="960"/>
      </w:tblGrid>
      <w:tr>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Ticket</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Title</w:t>
            </w:r>
          </w:p>
        </w:tc>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Assigned To</w:t>
            </w:r>
          </w:p>
        </w:tc>
        <w:tc>
          <w:tcPr>
            <w:tcW w:w="9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Est. Hours</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AFFG-004-013</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Intune MAM Policy Configuration – BYOD Outlook App (iOS &amp; Android)</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AFFG-004-014</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MAM Policy Testing &amp; Employee BYOD Enrollment Guide</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w:t>
            </w:r>
          </w:p>
        </w:tc>
      </w:tr>
      <w:tr>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Phase Total</w:t>
            </w:r>
          </w:p>
        </w:tc>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9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4</w:t>
            </w:r>
          </w:p>
        </w:tc>
      </w:tr>
    </w:tbl>
    <w:p/>
    <w:p>
      <w:pPr>
        <w:pStyle w:val="Heading2"/>
      </w:pPr>
      <w:r>
        <w:rPr>
          <w:rFonts w:ascii="Open Sans" w:hAnsi="Open Sans" w:cs="Open Sans" w:eastAsia="Open Sans"/>
          <w:color w:val="59595B"/>
          <w:sz w:val="22"/>
          <w:szCs w:val="22"/>
        </w:rPr>
        <w:t xml:space="preserve">Phase 4: Migration &amp; Cutover (Weeks 7–12)</w:t>
      </w:r>
    </w:p>
    <w:p>
      <w:pPr>
        <w:spacing w:before="0" w:after="120"/>
      </w:pPr>
      <w:r>
        <w:rPr>
          <w:rFonts w:ascii="Open Sans" w:hAnsi="Open Sans" w:cs="Open Sans" w:eastAsia="Open Sans"/>
          <w:color w:val="59595B"/>
          <w:sz w:val="22"/>
          <w:szCs w:val="22"/>
        </w:rPr>
        <w:t xml:space="preserve">4 tickets  |  17 hours</w:t>
      </w:r>
    </w:p>
    <w:p>
      <w:pPr>
        <w:spacing w:before="0" w:after="120"/>
      </w:pPr>
      <w:r>
        <w:rPr>
          <w:rFonts w:ascii="Open Sans" w:hAnsi="Open Sans" w:cs="Open Sans" w:eastAsia="Open Sans"/>
          <w:color w:val="59595B"/>
          <w:sz w:val="22"/>
          <w:szCs w:val="22"/>
        </w:rPr>
        <w:t xml:space="preserve">Migrate user data from VDI to managed endpoints (Windows profile migration + Mac local profile setup). User training on managed-device workflow and CloudBrink ZTNA for remote access. 2-week parallel operation window. VDI decommission and cleanup.</w:t>
      </w:r>
    </w:p>
    <w:p>
      <w:pPr>
        <w:pStyle w:val="Heading3"/>
      </w:pPr>
      <w:r>
        <w:rPr>
          <w:rFonts w:ascii="Open Sans" w:hAnsi="Open Sans" w:cs="Open Sans" w:eastAsia="Open Sans"/>
          <w:color w:val="59595B"/>
          <w:sz w:val="22"/>
          <w:szCs w:val="22"/>
        </w:rPr>
        <w:t xml:space="preserve">Phase 4 Tickets</w:t>
      </w:r>
    </w:p>
    <w:tbl>
      <w:tblPr>
        <w:tblW w:w="8360" w:type="dxa"/>
      </w:tblPr>
      <w:tblGrid>
        <w:gridCol w:w="1600"/>
        <w:gridCol w:w="4200"/>
        <w:gridCol w:w="1600"/>
        <w:gridCol w:w="960"/>
      </w:tblGrid>
      <w:tr>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Ticket</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Title</w:t>
            </w:r>
          </w:p>
        </w:tc>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Assigned To</w:t>
            </w:r>
          </w:p>
        </w:tc>
        <w:tc>
          <w:tcPr>
            <w:tcW w:w="9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Est. Hours</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AFFG-004-015</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VDI-to-Managed-Device Data Migration (Windows + Mac)</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6</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AFFG-004-016</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User Training – Managed Device &amp; CloudBrink Remote Access Workflow</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AFFG-004-017</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Parallel Operation Window (VDI + Managed Devices)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AFFG-004-018</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VDI Decommission &amp; Cleanup</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Phase Total</w:t>
            </w:r>
          </w:p>
        </w:tc>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9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17</w:t>
            </w:r>
          </w:p>
        </w:tc>
      </w:tr>
    </w:tbl>
    <w:p/>
    <w:p>
      <w:pPr>
        <w:pStyle w:val="Heading2"/>
      </w:pPr>
      <w:r>
        <w:rPr>
          <w:rFonts w:ascii="Open Sans" w:hAnsi="Open Sans" w:cs="Open Sans" w:eastAsia="Open Sans"/>
          <w:color w:val="59595B"/>
          <w:sz w:val="22"/>
          <w:szCs w:val="22"/>
        </w:rPr>
        <w:t xml:space="preserve">Phase 5: Monitoring &amp; Validation (Weeks 11–14)</w:t>
      </w:r>
    </w:p>
    <w:p>
      <w:pPr>
        <w:spacing w:before="0" w:after="120"/>
      </w:pPr>
      <w:r>
        <w:rPr>
          <w:rFonts w:ascii="Open Sans" w:hAnsi="Open Sans" w:cs="Open Sans" w:eastAsia="Open Sans"/>
          <w:color w:val="59595B"/>
          <w:sz w:val="22"/>
          <w:szCs w:val="22"/>
        </w:rPr>
        <w:t xml:space="preserve">4 tickets  |  13 hours</w:t>
      </w:r>
    </w:p>
    <w:p>
      <w:pPr>
        <w:spacing w:before="0" w:after="120"/>
      </w:pPr>
      <w:r>
        <w:rPr>
          <w:rFonts w:ascii="Open Sans" w:hAnsi="Open Sans" w:cs="Open Sans" w:eastAsia="Open Sans"/>
          <w:color w:val="59595B"/>
          <w:sz w:val="22"/>
          <w:szCs w:val="22"/>
        </w:rPr>
        <w:t xml:space="preserve">Expand monitoring to full device fleet and CloudBrink. Configure MAM compliance reporting. End-to-end security validation. Post-migration compliance gap assessment confirming equivalent regulatory posture.</w:t>
      </w:r>
    </w:p>
    <w:p>
      <w:pPr>
        <w:pStyle w:val="Heading3"/>
      </w:pPr>
      <w:r>
        <w:rPr>
          <w:rFonts w:ascii="Open Sans" w:hAnsi="Open Sans" w:cs="Open Sans" w:eastAsia="Open Sans"/>
          <w:color w:val="59595B"/>
          <w:sz w:val="22"/>
          <w:szCs w:val="22"/>
        </w:rPr>
        <w:t xml:space="preserve">Phase 5 Tickets</w:t>
      </w:r>
    </w:p>
    <w:tbl>
      <w:tblPr>
        <w:tblW w:w="8360" w:type="dxa"/>
      </w:tblPr>
      <w:tblGrid>
        <w:gridCol w:w="1600"/>
        <w:gridCol w:w="4200"/>
        <w:gridCol w:w="1600"/>
        <w:gridCol w:w="960"/>
      </w:tblGrid>
      <w:tr>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Ticket</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Title</w:t>
            </w:r>
          </w:p>
        </w:tc>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Assigned To</w:t>
            </w:r>
          </w:p>
        </w:tc>
        <w:tc>
          <w:tcPr>
            <w:tcW w:w="9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Est. Hours</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AFFG-004-019</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Monitoring Expansion – Device Fleet &amp; CloudBrink</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AFFG-004-020</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MAM Compliance Reporting Configuration</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AFFG-004-021</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End-to-End Security Validation</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AFFG-004-022</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Post-Migration Compliance Gap Assessment</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Phase Total</w:t>
            </w:r>
          </w:p>
        </w:tc>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9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13</w:t>
            </w:r>
          </w:p>
        </w:tc>
      </w:tr>
    </w:tbl>
    <w:p/>
    <w:p>
      <w:pPr>
        <w:pStyle w:val="Heading2"/>
      </w:pPr>
      <w:r>
        <w:rPr>
          <w:rFonts w:ascii="Open Sans" w:hAnsi="Open Sans" w:cs="Open Sans" w:eastAsia="Open Sans"/>
          <w:color w:val="59595B"/>
          <w:sz w:val="22"/>
          <w:szCs w:val="22"/>
        </w:rPr>
        <w:t xml:space="preserve">Phase 6: Documentation Update (Weeks 13–16)</w:t>
      </w:r>
    </w:p>
    <w:p>
      <w:pPr>
        <w:spacing w:before="0" w:after="120"/>
      </w:pPr>
      <w:r>
        <w:rPr>
          <w:rFonts w:ascii="Open Sans" w:hAnsi="Open Sans" w:cs="Open Sans" w:eastAsia="Open Sans"/>
          <w:color w:val="59595B"/>
          <w:sz w:val="22"/>
          <w:szCs w:val="22"/>
        </w:rPr>
        <w:t xml:space="preserve">2 tickets  |  9 hours</w:t>
      </w:r>
    </w:p>
    <w:p>
      <w:pPr>
        <w:spacing w:before="0" w:after="120"/>
      </w:pPr>
      <w:r>
        <w:rPr>
          <w:rFonts w:ascii="Open Sans" w:hAnsi="Open Sans" w:cs="Open Sans" w:eastAsia="Open Sans"/>
          <w:color w:val="59595B"/>
          <w:sz w:val="22"/>
          <w:szCs w:val="22"/>
        </w:rPr>
        <w:t xml:space="preserve">Update all SOW-003 compliance documents for managed-device architecture. Draft Schedule A amendment.</w:t>
      </w:r>
    </w:p>
    <w:p>
      <w:pPr>
        <w:pStyle w:val="Heading3"/>
      </w:pPr>
      <w:r>
        <w:rPr>
          <w:rFonts w:ascii="Open Sans" w:hAnsi="Open Sans" w:cs="Open Sans" w:eastAsia="Open Sans"/>
          <w:color w:val="59595B"/>
          <w:sz w:val="22"/>
          <w:szCs w:val="22"/>
        </w:rPr>
        <w:t xml:space="preserve">Phase 6 Tickets</w:t>
      </w:r>
    </w:p>
    <w:tbl>
      <w:tblPr>
        <w:tblW w:w="8360" w:type="dxa"/>
      </w:tblPr>
      <w:tblGrid>
        <w:gridCol w:w="1600"/>
        <w:gridCol w:w="4200"/>
        <w:gridCol w:w="1600"/>
        <w:gridCol w:w="960"/>
      </w:tblGrid>
      <w:tr>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Ticket</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Title</w:t>
            </w:r>
          </w:p>
        </w:tc>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Assigned To</w:t>
            </w:r>
          </w:p>
        </w:tc>
        <w:tc>
          <w:tcPr>
            <w:tcW w:w="9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Est. Hours</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AFFG-004-023</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Update Compliance Documentation Suite</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6</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AFFG-004-024</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Schedule A Amendment – Remove VDI / Add Managed Device Services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Phase Total</w:t>
            </w:r>
          </w:p>
        </w:tc>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9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9</w:t>
            </w:r>
          </w:p>
        </w:tc>
      </w:tr>
    </w:tbl>
    <w:p/>
    <w:p>
      <w:pPr>
        <w:pStyle w:val="Heading1"/>
      </w:pPr>
      <w:r>
        <w:rPr>
          <w:rFonts w:ascii="Open Sans" w:hAnsi="Open Sans" w:cs="Open Sans" w:eastAsia="Open Sans"/>
          <w:color w:val="59595B"/>
          <w:sz w:val="22"/>
          <w:szCs w:val="22"/>
        </w:rPr>
        <w:t xml:space="preserve">3. CONTROL-TO-CITATION MAP</w:t>
      </w:r>
    </w:p>
    <w:p>
      <w:pPr>
        <w:spacing w:before="0" w:after="120"/>
      </w:pPr>
      <w:r>
        <w:rPr>
          <w:rFonts w:ascii="Open Sans" w:hAnsi="Open Sans" w:cs="Open Sans" w:eastAsia="Open Sans"/>
          <w:color w:val="59595B"/>
          <w:sz w:val="22"/>
          <w:szCs w:val="22"/>
        </w:rPr>
        <w:t xml:space="preserve">The following table maps each design component to its control objective and regulatory citations:</w:t>
      </w:r>
    </w:p>
    <w:tbl>
      <w:tblPr>
        <w:tblW w:w="7360" w:type="dxa"/>
      </w:tblPr>
      <w:tblGrid>
        <w:gridCol w:w="2100"/>
        <w:gridCol w:w="2900"/>
        <w:gridCol w:w="2360"/>
      </w:tblGrid>
      <w:tr>
        <w:tc>
          <w:tcPr>
            <w:tcW w:w="21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Design Component</w:t>
            </w:r>
          </w:p>
        </w:tc>
        <w:tc>
          <w:tcPr>
            <w:tcW w:w="29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Control Objective</w:t>
            </w:r>
          </w:p>
        </w:tc>
        <w:tc>
          <w:tcPr>
            <w:tcW w:w="23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Citation(s)</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Intune-managed endpoints (4 Mac Mini + 6 Windows laptops)</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All 10 users on company-owned, encrypted, policy-enforced devices</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Reg S-P 248.30(a)(1)-(3); FINRA 3110(a)</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CloudBrink ZTNA (replaces Cisco Umbrella + VDI egress IP)</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Zero-trust access; device posture verified per session; DNS filtering and ZTNA egress</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Reg S-P 248.30(a)(3); NIST AC-17, SC-7</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Office WAN IP + CloudBrink egress whitelist at Schwab &amp; IBKR</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Only office or CloudBrink-tunneled devices reach custodian portals — MFA alone does not restrict device origin</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Reg S-P 248.30(a)(3); NIST AC-3, SC-7</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Entra Conditional Access (Named Location + Compliant Device)</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M365 restricted to office WAN IP or Intune-compliant device; legacy auth blocked</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Reg S-P 248.30(a)(3); NIST AC-3, IA-2(1)</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Intune MAM – BYOD Outlook App</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Corporate email containerized on personal device; selective corporate wipe on separation</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Reg S-P 248.30(a)(1)-(3); NIST AC-19, MP-6</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Technijian MyAudit UAM+DLP</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Block USB, local download, print, clipboard, screen capture on all managed endpoints</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Reg S-P 248.30(a)(3); NIST AC-19, MP-7</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Technijian Veeam Backup for M365</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Immutable, non-rewriteable backup of full M365 tenant</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SEC Rule 17a-4(b),(f); FINRA 4511</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Technijian monthly assessment</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Detect drift; attested evidence of ongoing control operation</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FINRA 3110(c); FINRA 3120</w:t>
            </w:r>
          </w:p>
        </w:tc>
      </w:tr>
    </w:tbl>
    <w:p/>
    <w:p>
      <w:pPr>
        <w:pStyle w:val="Heading1"/>
      </w:pPr>
      <w:r>
        <w:rPr>
          <w:rFonts w:ascii="Open Sans" w:hAnsi="Open Sans" w:cs="Open Sans" w:eastAsia="Open Sans"/>
          <w:color w:val="59595B"/>
          <w:sz w:val="22"/>
          <w:szCs w:val="22"/>
        </w:rPr>
        <w:t xml:space="preserve">4. DELIVERABLES</w:t>
      </w:r>
    </w:p>
    <w:p>
      <w:pPr>
        <w:pStyle w:val="ListParagraph"/>
        <w:numPr>
          <w:ilvl w:val="0"/>
          <w:numId w:val="2"/>
        </w:numPr>
        <w:spacing w:before="40" w:after="40"/>
      </w:pPr>
      <w:r>
        <w:rPr>
          <w:rFonts w:ascii="Open Sans" w:hAnsi="Open Sans" w:cs="Open Sans" w:eastAsia="Open Sans"/>
          <w:color w:val="59595B"/>
          <w:sz w:val="22"/>
          <w:szCs w:val="22"/>
        </w:rPr>
        <w:t xml:space="preserve">10 Intune-managed company endpoints (4 Mac Mini via ABM, 6 Windows laptops via Autopilot) with full security stack</w:t>
      </w:r>
    </w:p>
    <w:p>
      <w:pPr>
        <w:pStyle w:val="ListParagraph"/>
        <w:numPr>
          <w:ilvl w:val="0"/>
          <w:numId w:val="2"/>
        </w:numPr>
        <w:spacing w:before="40" w:after="40"/>
      </w:pPr>
      <w:r>
        <w:rPr>
          <w:rFonts w:ascii="Open Sans" w:hAnsi="Open Sans" w:cs="Open Sans" w:eastAsia="Open Sans"/>
          <w:color w:val="59595B"/>
          <w:sz w:val="22"/>
          <w:szCs w:val="22"/>
        </w:rPr>
        <w:t xml:space="preserve">CloudBrink ZTNA deployed with per-application micro-segmented access and device posture enforcement</w:t>
      </w:r>
    </w:p>
    <w:p>
      <w:pPr>
        <w:pStyle w:val="ListParagraph"/>
        <w:numPr>
          <w:ilvl w:val="0"/>
          <w:numId w:val="2"/>
        </w:numPr>
        <w:spacing w:before="40" w:after="40"/>
      </w:pPr>
      <w:r>
        <w:rPr>
          <w:rFonts w:ascii="Open Sans" w:hAnsi="Open Sans" w:cs="Open Sans" w:eastAsia="Open Sans"/>
          <w:color w:val="59595B"/>
          <w:sz w:val="22"/>
          <w:szCs w:val="22"/>
        </w:rPr>
        <w:t xml:space="preserve">Schwab and IBKR migrated from VDI egress IP to CloudBrink egress IP whitelist</w:t>
      </w:r>
    </w:p>
    <w:p>
      <w:pPr>
        <w:pStyle w:val="ListParagraph"/>
        <w:numPr>
          <w:ilvl w:val="0"/>
          <w:numId w:val="2"/>
        </w:numPr>
        <w:spacing w:before="40" w:after="40"/>
      </w:pPr>
      <w:r>
        <w:rPr>
          <w:rFonts w:ascii="Open Sans" w:hAnsi="Open Sans" w:cs="Open Sans" w:eastAsia="Open Sans"/>
          <w:color w:val="59595B"/>
          <w:sz w:val="22"/>
          <w:szCs w:val="22"/>
        </w:rPr>
        <w:t xml:space="preserve">Entra Conditional Access: M365 restricted to office WAN IP or Intune-compliant device; legacy auth blocked</w:t>
      </w:r>
    </w:p>
    <w:p>
      <w:pPr>
        <w:pStyle w:val="ListParagraph"/>
        <w:numPr>
          <w:ilvl w:val="0"/>
          <w:numId w:val="2"/>
        </w:numPr>
        <w:spacing w:before="40" w:after="40"/>
      </w:pPr>
      <w:r>
        <w:rPr>
          <w:rFonts w:ascii="Open Sans" w:hAnsi="Open Sans" w:cs="Open Sans" w:eastAsia="Open Sans"/>
          <w:color w:val="59595B"/>
          <w:sz w:val="22"/>
          <w:szCs w:val="22"/>
        </w:rPr>
        <w:t xml:space="preserve">MyAudit UAM+DLP and Credential Manager on all 10 managed endpoints (replaces VDI-based deployment)</w:t>
      </w:r>
    </w:p>
    <w:p>
      <w:pPr>
        <w:pStyle w:val="ListParagraph"/>
        <w:numPr>
          <w:ilvl w:val="0"/>
          <w:numId w:val="2"/>
        </w:numPr>
        <w:spacing w:before="40" w:after="40"/>
      </w:pPr>
      <w:r>
        <w:rPr>
          <w:rFonts w:ascii="Open Sans" w:hAnsi="Open Sans" w:cs="Open Sans" w:eastAsia="Open Sans"/>
          <w:color w:val="59595B"/>
          <w:sz w:val="22"/>
          <w:szCs w:val="22"/>
        </w:rPr>
        <w:t xml:space="preserve">Intune MAM policies for BYOD personal mobile devices (Outlook App, iOS and Android)</w:t>
      </w:r>
    </w:p>
    <w:p>
      <w:pPr>
        <w:pStyle w:val="ListParagraph"/>
        <w:numPr>
          <w:ilvl w:val="0"/>
          <w:numId w:val="2"/>
        </w:numPr>
        <w:spacing w:before="40" w:after="40"/>
      </w:pPr>
      <w:r>
        <w:rPr>
          <w:rFonts w:ascii="Open Sans" w:hAnsi="Open Sans" w:cs="Open Sans" w:eastAsia="Open Sans"/>
          <w:color w:val="59595B"/>
          <w:sz w:val="22"/>
          <w:szCs w:val="22"/>
        </w:rPr>
        <w:t xml:space="preserve">Updated compliance documentation suite reflecting managed-device architecture</w:t>
      </w:r>
    </w:p>
    <w:p>
      <w:pPr>
        <w:pStyle w:val="ListParagraph"/>
        <w:numPr>
          <w:ilvl w:val="0"/>
          <w:numId w:val="2"/>
        </w:numPr>
        <w:spacing w:before="40" w:after="40"/>
      </w:pPr>
      <w:r>
        <w:rPr>
          <w:rFonts w:ascii="Open Sans" w:hAnsi="Open Sans" w:cs="Open Sans" w:eastAsia="Open Sans"/>
          <w:color w:val="59595B"/>
          <w:sz w:val="22"/>
          <w:szCs w:val="22"/>
        </w:rPr>
        <w:t xml:space="preserve">Schedule A amendment reflecting monthly cost reduction</w:t>
      </w:r>
    </w:p>
    <w:p>
      <w:pPr>
        <w:pStyle w:val="ListParagraph"/>
        <w:numPr>
          <w:ilvl w:val="0"/>
          <w:numId w:val="2"/>
        </w:numPr>
        <w:spacing w:before="40" w:after="40"/>
      </w:pPr>
      <w:r>
        <w:rPr>
          <w:rFonts w:ascii="Open Sans" w:hAnsi="Open Sans" w:cs="Open Sans" w:eastAsia="Open Sans"/>
          <w:color w:val="59595B"/>
          <w:sz w:val="22"/>
          <w:szCs w:val="22"/>
        </w:rPr>
        <w:t xml:space="preserve">Post-migration compliance gap assessment confirming equivalent regulatory posture</w:t>
      </w:r>
    </w:p>
    <w:p>
      <w:pPr>
        <w:pStyle w:val="Heading1"/>
      </w:pPr>
      <w:r>
        <w:rPr>
          <w:rFonts w:ascii="Open Sans" w:hAnsi="Open Sans" w:cs="Open Sans" w:eastAsia="Open Sans"/>
          <w:color w:val="59595B"/>
          <w:sz w:val="22"/>
          <w:szCs w:val="22"/>
        </w:rPr>
        <w:t xml:space="preserve">5. PRICING AND PAYMENT</w:t>
      </w:r>
    </w:p>
    <w:p>
      <w:pPr>
        <w:pStyle w:val="Heading2"/>
      </w:pPr>
      <w:r>
        <w:rPr>
          <w:rFonts w:ascii="Open Sans" w:hAnsi="Open Sans" w:cs="Open Sans" w:eastAsia="Open Sans"/>
          <w:color w:val="59595B"/>
          <w:sz w:val="22"/>
          <w:szCs w:val="22"/>
        </w:rPr>
        <w:t xml:space="preserve">5.1 Labor Summary</w:t>
      </w:r>
    </w:p>
    <w:tbl>
      <w:tblPr>
        <w:tblW w:w="8360" w:type="dxa"/>
      </w:tblPr>
      <w:tblGrid>
        <w:gridCol w:w="4000"/>
        <w:gridCol w:w="1400"/>
        <w:gridCol w:w="1200"/>
        <w:gridCol w:w="1760"/>
      </w:tblGrid>
      <w:tr>
        <w:tc>
          <w:tcPr>
            <w:tcW w:w="40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Role</w:t>
            </w:r>
          </w:p>
        </w:tc>
        <w:tc>
          <w:tcPr>
            <w:tcW w:w="14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Rate</w:t>
            </w:r>
          </w:p>
        </w:tc>
        <w:tc>
          <w:tcPr>
            <w:tcW w:w="1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Hours</w:t>
            </w:r>
          </w:p>
        </w:tc>
        <w:tc>
          <w:tcPr>
            <w:tcW w:w="17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Labor</w:t>
            </w:r>
          </w:p>
        </w:tc>
      </w:tr>
      <w:tr>
        <w:tc>
          <w:tcPr>
            <w:tcW w:w="40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US Tech Support (IRV-TS1)</w:t>
            </w:r>
          </w:p>
        </w:tc>
        <w:tc>
          <w:tcPr>
            <w:tcW w:w="14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$150/hr</w:t>
            </w:r>
          </w:p>
        </w:tc>
        <w:tc>
          <w:tcPr>
            <w:tcW w:w="1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24</w:t>
            </w:r>
          </w:p>
        </w:tc>
        <w:tc>
          <w:tcPr>
            <w:tcW w:w="17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$3,600.00</w:t>
            </w:r>
          </w:p>
        </w:tc>
      </w:tr>
      <w:tr>
        <w:tc>
          <w:tcPr>
            <w:tcW w:w="40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India Tech Support (CHD-TS1)</w:t>
            </w:r>
          </w:p>
        </w:tc>
        <w:tc>
          <w:tcPr>
            <w:tcW w:w="14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$45/hr</w:t>
            </w:r>
          </w:p>
        </w:tc>
        <w:tc>
          <w:tcPr>
            <w:tcW w:w="1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59</w:t>
            </w:r>
          </w:p>
        </w:tc>
        <w:tc>
          <w:tcPr>
            <w:tcW w:w="17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$2,655.00</w:t>
            </w:r>
          </w:p>
        </w:tc>
      </w:tr>
      <w:tr>
        <w:tc>
          <w:tcPr>
            <w:tcW w:w="40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TOTAL</w:t>
            </w:r>
          </w:p>
        </w:tc>
        <w:tc>
          <w:tcPr>
            <w:tcW w:w="14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1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83 hrs</w:t>
            </w:r>
          </w:p>
        </w:tc>
        <w:tc>
          <w:tcPr>
            <w:tcW w:w="17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$6,255.00</w:t>
            </w:r>
          </w:p>
        </w:tc>
      </w:tr>
    </w:tbl>
    <w:p/>
    <w:p>
      <w:pPr>
        <w:pStyle w:val="Heading2"/>
      </w:pPr>
      <w:r>
        <w:rPr>
          <w:rFonts w:ascii="Open Sans" w:hAnsi="Open Sans" w:cs="Open Sans" w:eastAsia="Open Sans"/>
          <w:color w:val="59595B"/>
          <w:sz w:val="22"/>
          <w:szCs w:val="22"/>
        </w:rPr>
        <w:t xml:space="preserve">5.2 Payment Schedule</w:t>
      </w:r>
    </w:p>
    <w:tbl>
      <w:tblPr>
        <w:tblW w:w="8360" w:type="dxa"/>
      </w:tblPr>
      <w:tblGrid>
        <w:gridCol w:w="3000"/>
        <w:gridCol w:w="4200"/>
        <w:gridCol w:w="1160"/>
      </w:tblGrid>
      <w:tr>
        <w:tc>
          <w:tcPr>
            <w:tcW w:w="30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Milestone</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Trigger</w:t>
            </w:r>
          </w:p>
        </w:tc>
        <w:tc>
          <w:tcPr>
            <w:tcW w:w="11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Amount</w:t>
            </w:r>
          </w:p>
        </w:tc>
      </w:tr>
      <w:tr>
        <w:tc>
          <w:tcPr>
            <w:tcW w:w="30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50% upon SOW execution</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SOW signed by both parties</w:t>
            </w:r>
          </w:p>
        </w:tc>
        <w:tc>
          <w:tcPr>
            <w:tcW w:w="11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$3,127.50</w:t>
            </w:r>
          </w:p>
        </w:tc>
      </w:tr>
      <w:tr>
        <w:tc>
          <w:tcPr>
            <w:tcW w:w="30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25% upon Phase 4 completion</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VDI decommissioned</w:t>
            </w:r>
          </w:p>
        </w:tc>
        <w:tc>
          <w:tcPr>
            <w:tcW w:w="11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$1,563.75</w:t>
            </w:r>
          </w:p>
        </w:tc>
      </w:tr>
      <w:tr>
        <w:tc>
          <w:tcPr>
            <w:tcW w:w="30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25% upon Phase 6 delivery</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Documentation + Schedule A amendment accepted</w:t>
            </w:r>
          </w:p>
        </w:tc>
        <w:tc>
          <w:tcPr>
            <w:tcW w:w="11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$1,563.75</w:t>
            </w:r>
          </w:p>
        </w:tc>
      </w:tr>
      <w:tr>
        <w:tc>
          <w:tcPr>
            <w:tcW w:w="30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Total</w:t>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11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$6,255.00</w:t>
            </w:r>
          </w:p>
        </w:tc>
      </w:tr>
    </w:tbl>
    <w:p/>
    <w:p>
      <w:pPr>
        <w:pStyle w:val="Heading2"/>
      </w:pPr>
      <w:r>
        <w:rPr>
          <w:rFonts w:ascii="Open Sans" w:hAnsi="Open Sans" w:cs="Open Sans" w:eastAsia="Open Sans"/>
          <w:color w:val="59595B"/>
          <w:sz w:val="22"/>
          <w:szCs w:val="22"/>
        </w:rPr>
        <w:t xml:space="preserve">5.3 Payment Terms</w:t>
      </w:r>
    </w:p>
    <w:p>
      <w:pPr>
        <w:spacing w:before="0" w:after="120"/>
      </w:pPr>
      <w:r>
        <w:rPr>
          <w:rFonts w:ascii="Open Sans" w:hAnsi="Open Sans" w:cs="Open Sans" w:eastAsia="Open Sans"/>
          <w:color w:val="59595B"/>
          <w:sz w:val="22"/>
          <w:szCs w:val="22"/>
        </w:rPr>
        <w:t xml:space="preserve">All invoices are due and payable within thirty (30) days of the invoice date. Late payments are subject to a late fee of 1.5% per month on the unpaid balance.</w:t>
      </w:r>
    </w:p>
    <w:p>
      <w:pPr>
        <w:pStyle w:val="Heading1"/>
      </w:pPr>
      <w:r>
        <w:rPr>
          <w:rFonts w:ascii="Open Sans" w:hAnsi="Open Sans" w:cs="Open Sans" w:eastAsia="Open Sans"/>
          <w:color w:val="59595B"/>
          <w:sz w:val="22"/>
          <w:szCs w:val="22"/>
        </w:rPr>
        <w:t xml:space="preserve">6. ASSUMPTIONS</w:t>
      </w:r>
    </w:p>
    <w:p>
      <w:pPr>
        <w:pStyle w:val="ListParagraph"/>
        <w:numPr>
          <w:ilvl w:val="0"/>
          <w:numId w:val="2"/>
        </w:numPr>
        <w:spacing w:before="40" w:after="40"/>
      </w:pPr>
      <w:r>
        <w:rPr>
          <w:rFonts w:ascii="Open Sans" w:hAnsi="Open Sans" w:cs="Open Sans" w:eastAsia="Open Sans"/>
          <w:color w:val="59595B"/>
          <w:sz w:val="22"/>
          <w:szCs w:val="22"/>
        </w:rPr>
        <w:t xml:space="preserve">AFFG has procured 4 Mac Mini desktops and 6 Windows 11 Pro/Enterprise laptops suitable for Intune enrollment</w:t>
      </w:r>
    </w:p>
    <w:p>
      <w:pPr>
        <w:pStyle w:val="ListParagraph"/>
        <w:numPr>
          <w:ilvl w:val="0"/>
          <w:numId w:val="2"/>
        </w:numPr>
        <w:spacing w:before="40" w:after="40"/>
      </w:pPr>
      <w:r>
        <w:rPr>
          <w:rFonts w:ascii="Open Sans" w:hAnsi="Open Sans" w:cs="Open Sans" w:eastAsia="Open Sans"/>
          <w:color w:val="59595B"/>
          <w:sz w:val="22"/>
          <w:szCs w:val="22"/>
        </w:rPr>
        <w:t xml:space="preserve">AFFG enrolls Mac Minis in Apple Business Manager (ABM) prior to Phase 1; Technijian will assist with ABM setup</w:t>
      </w:r>
    </w:p>
    <w:p>
      <w:pPr>
        <w:pStyle w:val="ListParagraph"/>
        <w:numPr>
          <w:ilvl w:val="0"/>
          <w:numId w:val="2"/>
        </w:numPr>
        <w:spacing w:before="40" w:after="40"/>
      </w:pPr>
      <w:r>
        <w:rPr>
          <w:rFonts w:ascii="Open Sans" w:hAnsi="Open Sans" w:cs="Open Sans" w:eastAsia="Open Sans"/>
          <w:color w:val="59595B"/>
          <w:sz w:val="22"/>
          <w:szCs w:val="22"/>
        </w:rPr>
        <w:t xml:space="preserve">AFFG has procured CloudBrink ZTNA per-user subscription licenses for all 10 users</w:t>
      </w:r>
    </w:p>
    <w:p>
      <w:pPr>
        <w:pStyle w:val="ListParagraph"/>
        <w:numPr>
          <w:ilvl w:val="0"/>
          <w:numId w:val="2"/>
        </w:numPr>
        <w:spacing w:before="40" w:after="40"/>
      </w:pPr>
      <w:r>
        <w:rPr>
          <w:rFonts w:ascii="Open Sans" w:hAnsi="Open Sans" w:cs="Open Sans" w:eastAsia="Open Sans"/>
          <w:color w:val="59595B"/>
          <w:sz w:val="22"/>
          <w:szCs w:val="22"/>
        </w:rPr>
        <w:t xml:space="preserve">AFFG’s M365 tenant remains licensed at E3 or E5 (Intune, Conditional Access, and DLP included)</w:t>
      </w:r>
    </w:p>
    <w:p>
      <w:pPr>
        <w:pStyle w:val="ListParagraph"/>
        <w:numPr>
          <w:ilvl w:val="0"/>
          <w:numId w:val="2"/>
        </w:numPr>
        <w:spacing w:before="40" w:after="40"/>
      </w:pPr>
      <w:r>
        <w:rPr>
          <w:rFonts w:ascii="Open Sans" w:hAnsi="Open Sans" w:cs="Open Sans" w:eastAsia="Open Sans"/>
          <w:color w:val="59595B"/>
          <w:sz w:val="22"/>
          <w:szCs w:val="22"/>
        </w:rPr>
        <w:t xml:space="preserve">AFFG employees use personal mobile devices (BYOD) for Outlook App only; no company phones are procured</w:t>
      </w:r>
    </w:p>
    <w:p>
      <w:pPr>
        <w:pStyle w:val="ListParagraph"/>
        <w:numPr>
          <w:ilvl w:val="0"/>
          <w:numId w:val="2"/>
        </w:numPr>
        <w:spacing w:before="40" w:after="40"/>
      </w:pPr>
      <w:r>
        <w:rPr>
          <w:rFonts w:ascii="Open Sans" w:hAnsi="Open Sans" w:cs="Open Sans" w:eastAsia="Open Sans"/>
          <w:color w:val="59595B"/>
          <w:sz w:val="22"/>
          <w:szCs w:val="22"/>
        </w:rPr>
        <w:t xml:space="preserve">AFFG provides the office WAN static IP address to Technijian prior to Phase 2 commencement</w:t>
      </w:r>
    </w:p>
    <w:p>
      <w:pPr>
        <w:pStyle w:val="ListParagraph"/>
        <w:numPr>
          <w:ilvl w:val="0"/>
          <w:numId w:val="2"/>
        </w:numPr>
        <w:spacing w:before="40" w:after="40"/>
      </w:pPr>
      <w:r>
        <w:rPr>
          <w:rFonts w:ascii="Open Sans" w:hAnsi="Open Sans" w:cs="Open Sans" w:eastAsia="Open Sans"/>
          <w:color w:val="59595B"/>
          <w:sz w:val="22"/>
          <w:szCs w:val="22"/>
        </w:rPr>
        <w:t xml:space="preserve">Schwab Advisor Services and IBKR approve transition from VDI egress IP to CloudBrink egress IP within standard timelines</w:t>
      </w:r>
    </w:p>
    <w:p>
      <w:pPr>
        <w:pStyle w:val="ListParagraph"/>
        <w:numPr>
          <w:ilvl w:val="0"/>
          <w:numId w:val="2"/>
        </w:numPr>
        <w:spacing w:before="40" w:after="40"/>
      </w:pPr>
      <w:r>
        <w:rPr>
          <w:rFonts w:ascii="Open Sans" w:hAnsi="Open Sans" w:cs="Open Sans" w:eastAsia="Open Sans"/>
          <w:color w:val="59595B"/>
          <w:sz w:val="22"/>
          <w:szCs w:val="22"/>
        </w:rPr>
        <w:t xml:space="preserve">The 7 VDI agents are available for managed-device migration and training during Weeks 7–10</w:t>
      </w:r>
    </w:p>
    <w:p>
      <w:pPr>
        <w:pStyle w:val="ListParagraph"/>
        <w:numPr>
          <w:ilvl w:val="0"/>
          <w:numId w:val="2"/>
        </w:numPr>
        <w:spacing w:before="40" w:after="40"/>
      </w:pPr>
      <w:r>
        <w:rPr>
          <w:rFonts w:ascii="Open Sans" w:hAnsi="Open Sans" w:cs="Open Sans" w:eastAsia="Open Sans"/>
          <w:color w:val="59595B"/>
          <w:sz w:val="22"/>
          <w:szCs w:val="22"/>
        </w:rPr>
        <w:t xml:space="preserve">All MyAudit UAM+DLP and Credential Manager licenses are transferred from VDI to managed endpoints at no additional cost</w:t>
      </w:r>
    </w:p>
    <w:p>
      <w:pPr>
        <w:pStyle w:val="Heading1"/>
      </w:pPr>
      <w:r>
        <w:rPr>
          <w:rFonts w:ascii="Open Sans" w:hAnsi="Open Sans" w:cs="Open Sans" w:eastAsia="Open Sans"/>
          <w:color w:val="59595B"/>
          <w:sz w:val="22"/>
          <w:szCs w:val="22"/>
        </w:rPr>
        <w:t xml:space="preserve">7. EXCLUSIONS</w:t>
      </w:r>
    </w:p>
    <w:p>
      <w:pPr>
        <w:pStyle w:val="ListParagraph"/>
        <w:numPr>
          <w:ilvl w:val="0"/>
          <w:numId w:val="2"/>
        </w:numPr>
        <w:spacing w:before="40" w:after="40"/>
      </w:pPr>
      <w:r>
        <w:rPr>
          <w:rFonts w:ascii="Open Sans" w:hAnsi="Open Sans" w:cs="Open Sans" w:eastAsia="Open Sans"/>
          <w:color w:val="59595B"/>
          <w:sz w:val="22"/>
          <w:szCs w:val="22"/>
        </w:rPr>
        <w:t xml:space="preserve">CloudBrink per-user subscription licensing (AFFG-procured)</w:t>
      </w:r>
    </w:p>
    <w:p>
      <w:pPr>
        <w:pStyle w:val="ListParagraph"/>
        <w:numPr>
          <w:ilvl w:val="0"/>
          <w:numId w:val="2"/>
        </w:numPr>
        <w:spacing w:before="40" w:after="40"/>
      </w:pPr>
      <w:r>
        <w:rPr>
          <w:rFonts w:ascii="Open Sans" w:hAnsi="Open Sans" w:cs="Open Sans" w:eastAsia="Open Sans"/>
          <w:color w:val="59595B"/>
          <w:sz w:val="22"/>
          <w:szCs w:val="22"/>
        </w:rPr>
        <w:t xml:space="preserve">Hardware procurement (Mac Mini desktops and Windows laptops)</w:t>
      </w:r>
    </w:p>
    <w:p>
      <w:pPr>
        <w:pStyle w:val="ListParagraph"/>
        <w:numPr>
          <w:ilvl w:val="0"/>
          <w:numId w:val="2"/>
        </w:numPr>
        <w:spacing w:before="40" w:after="40"/>
      </w:pPr>
      <w:r>
        <w:rPr>
          <w:rFonts w:ascii="Open Sans" w:hAnsi="Open Sans" w:cs="Open Sans" w:eastAsia="Open Sans"/>
          <w:color w:val="59595B"/>
          <w:sz w:val="22"/>
          <w:szCs w:val="22"/>
        </w:rPr>
        <w:t xml:space="preserve">Microsoft 365 license costs (AFFG procures directly)</w:t>
      </w:r>
    </w:p>
    <w:p>
      <w:pPr>
        <w:pStyle w:val="ListParagraph"/>
        <w:numPr>
          <w:ilvl w:val="0"/>
          <w:numId w:val="2"/>
        </w:numPr>
        <w:spacing w:before="40" w:after="40"/>
      </w:pPr>
      <w:r>
        <w:rPr>
          <w:rFonts w:ascii="Open Sans" w:hAnsi="Open Sans" w:cs="Open Sans" w:eastAsia="Open Sans"/>
          <w:color w:val="59595B"/>
          <w:sz w:val="22"/>
          <w:szCs w:val="22"/>
        </w:rPr>
        <w:t xml:space="preserve">Technijian My Archive (AFFG operates own archiving)</w:t>
      </w:r>
    </w:p>
    <w:p>
      <w:pPr>
        <w:pStyle w:val="ListParagraph"/>
        <w:numPr>
          <w:ilvl w:val="0"/>
          <w:numId w:val="2"/>
        </w:numPr>
        <w:spacing w:before="40" w:after="40"/>
      </w:pPr>
      <w:r>
        <w:rPr>
          <w:rFonts w:ascii="Open Sans" w:hAnsi="Open Sans" w:cs="Open Sans" w:eastAsia="Open Sans"/>
          <w:color w:val="59595B"/>
          <w:sz w:val="22"/>
          <w:szCs w:val="22"/>
        </w:rPr>
        <w:t xml:space="preserve">Company-owned mobile phones and MDM enrollment thereof</w:t>
      </w:r>
    </w:p>
    <w:p>
      <w:pPr>
        <w:pStyle w:val="ListParagraph"/>
        <w:numPr>
          <w:ilvl w:val="0"/>
          <w:numId w:val="2"/>
        </w:numPr>
        <w:spacing w:before="40" w:after="40"/>
      </w:pPr>
      <w:r>
        <w:rPr>
          <w:rFonts w:ascii="Open Sans" w:hAnsi="Open Sans" w:cs="Open Sans" w:eastAsia="Open Sans"/>
          <w:color w:val="59595B"/>
          <w:sz w:val="22"/>
          <w:szCs w:val="22"/>
        </w:rPr>
        <w:t xml:space="preserve">Remediation beyond defined scope; issues requiring additional work will be scoped as a separate Change Order</w:t>
      </w:r>
    </w:p>
    <w:p>
      <w:pPr>
        <w:pStyle w:val="Heading1"/>
      </w:pPr>
      <w:r>
        <w:rPr>
          <w:rFonts w:ascii="Open Sans" w:hAnsi="Open Sans" w:cs="Open Sans" w:eastAsia="Open Sans"/>
          <w:color w:val="59595B"/>
          <w:sz w:val="22"/>
          <w:szCs w:val="22"/>
        </w:rPr>
        <w:t xml:space="preserve">8. MONTHLY COST IMPACT</w:t>
      </w:r>
    </w:p>
    <w:p>
      <w:pPr>
        <w:pStyle w:val="Heading2"/>
      </w:pPr>
      <w:r>
        <w:rPr>
          <w:rFonts w:ascii="Open Sans" w:hAnsi="Open Sans" w:cs="Open Sans" w:eastAsia="Open Sans"/>
          <w:color w:val="59595B"/>
          <w:sz w:val="22"/>
          <w:szCs w:val="22"/>
        </w:rPr>
        <w:t xml:space="preserve">8.1 Current vs. Proposed Monthly Recurring</w:t>
      </w:r>
    </w:p>
    <w:p>
      <w:pPr>
        <w:spacing w:before="0" w:after="120"/>
      </w:pPr>
      <w:r>
        <w:rPr>
          <w:rFonts w:ascii="Open Sans" w:hAnsi="Open Sans" w:cs="Open Sans" w:eastAsia="Open Sans"/>
          <w:color w:val="59595B"/>
          <w:sz w:val="22"/>
          <w:szCs w:val="22"/>
        </w:rPr>
        <w:t xml:space="preserve">Current Monthly (SOW-003 implemented, VDI model) = $5,770.45/mo</w:t>
      </w:r>
    </w:p>
    <w:tbl>
      <w:tblPr>
        <w:tblW w:w="8360" w:type="dxa"/>
      </w:tblPr>
      <w:tblGrid>
        <w:gridCol w:w="3800"/>
        <w:gridCol w:w="1440"/>
        <w:gridCol w:w="1440"/>
        <w:gridCol w:w="1680"/>
      </w:tblGrid>
      <w:tr>
        <w:tc>
          <w:tcPr>
            <w:tcW w:w="38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Category</w:t>
            </w:r>
          </w:p>
        </w:tc>
        <w:tc>
          <w:tcPr>
            <w:tcW w:w="144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Current Monthly</w:t>
            </w:r>
          </w:p>
        </w:tc>
        <w:tc>
          <w:tcPr>
            <w:tcW w:w="144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Proposed Monthly</w:t>
            </w:r>
          </w:p>
        </w:tc>
        <w:tc>
          <w:tcPr>
            <w:tcW w:w="168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Change</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Horizon VDI Workstations (7 agents)</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$2,433.20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−$2,433.20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Physical Desktop Security – 10 endpoints (excl. Umbrella @ $22.50/device)</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$238.50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$225.00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−$13.50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CloudBrink ZTNA – 10 endpoints @ $8.00 (replaces Cisco Umbrella @ $4.00)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$80.00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+$80.00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Managed Endpoint Add-Ons – 10 endpoints (see 8.2)</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$1,131.00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+$1,131.00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All-User Services (31 M365 users)</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$441.75</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$441.75</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Domain / Site / IP Services</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$162.00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$162.00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Production Storage (VDI profiles)</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$400.00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−$400.00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Backup Storage (V365 / SEC 17a-4)</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$100.00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$100.00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Virtual Staff Support (unchanged)</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$1,995.00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$1,995.00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TOTAL MONTHLY</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$5,770.45</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$4,134.75</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−$1,635.70</w:t>
            </w:r>
          </w:p>
        </w:tc>
      </w:tr>
    </w:tbl>
    <w:p/>
    <w:p>
      <w:pPr>
        <w:pStyle w:val="Heading2"/>
      </w:pPr>
      <w:r>
        <w:rPr>
          <w:rFonts w:ascii="Open Sans" w:hAnsi="Open Sans" w:cs="Open Sans" w:eastAsia="Open Sans"/>
          <w:color w:val="59595B"/>
          <w:sz w:val="22"/>
          <w:szCs w:val="22"/>
        </w:rPr>
        <w:t xml:space="preserve">8.2 Managed Endpoint Add-Ons Detail (NEW – 10 endpoints)</w:t>
      </w:r>
    </w:p>
    <w:tbl>
      <w:tblPr>
        <w:tblW w:w="8360" w:type="dxa"/>
      </w:tblPr>
      <w:tblGrid>
        <w:gridCol w:w="3200"/>
        <w:gridCol w:w="1200"/>
        <w:gridCol w:w="640"/>
        <w:gridCol w:w="1440"/>
        <w:gridCol w:w="1880"/>
      </w:tblGrid>
      <w:tr>
        <w:tc>
          <w:tcPr>
            <w:tcW w:w="3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Service</w:t>
            </w:r>
          </w:p>
        </w:tc>
        <w:tc>
          <w:tcPr>
            <w:tcW w:w="1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Code</w:t>
            </w:r>
          </w:p>
        </w:tc>
        <w:tc>
          <w:tcPr>
            <w:tcW w:w="64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Qty</w:t>
            </w:r>
          </w:p>
        </w:tc>
        <w:tc>
          <w:tcPr>
            <w:tcW w:w="144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Unit Price</w:t>
            </w:r>
          </w:p>
        </w:tc>
        <w:tc>
          <w:tcPr>
            <w:tcW w:w="188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Monthly</w:t>
            </w:r>
          </w:p>
        </w:tc>
      </w:tr>
      <w:tr>
        <w:tc>
          <w:tcPr>
            <w:tcW w:w="3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MyAudit UAM+DLP / 1-Year</w:t>
            </w:r>
          </w:p>
        </w:tc>
        <w:tc>
          <w:tcPr>
            <w:tcW w:w="1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AMDLP1Y</w:t>
            </w:r>
          </w:p>
        </w:tc>
        <w:tc>
          <w:tcPr>
            <w:tcW w:w="6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$108.10</w:t>
            </w:r>
          </w:p>
        </w:tc>
        <w:tc>
          <w:tcPr>
            <w:tcW w:w="18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$1,081.00</w:t>
            </w:r>
          </w:p>
        </w:tc>
      </w:tr>
      <w:tr>
        <w:tc>
          <w:tcPr>
            <w:tcW w:w="3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Credential Manager</w:t>
            </w:r>
          </w:p>
        </w:tc>
        <w:tc>
          <w:tcPr>
            <w:tcW w:w="1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CRM</w:t>
            </w:r>
          </w:p>
        </w:tc>
        <w:tc>
          <w:tcPr>
            <w:tcW w:w="6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$5.00</w:t>
            </w:r>
          </w:p>
        </w:tc>
        <w:tc>
          <w:tcPr>
            <w:tcW w:w="18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$50.00</w:t>
            </w:r>
          </w:p>
        </w:tc>
      </w:tr>
      <w:tr>
        <w:tc>
          <w:tcPr>
            <w:tcW w:w="3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Subtotal</w:t>
            </w:r>
          </w:p>
        </w:tc>
        <w:tc>
          <w:tcPr>
            <w:tcW w:w="1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64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144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188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$1,131.00</w:t>
            </w:r>
          </w:p>
        </w:tc>
      </w:tr>
    </w:tbl>
    <w:p/>
    <w:p>
      <w:pPr>
        <w:spacing w:before="0" w:after="120"/>
      </w:pPr>
      <w:r>
        <w:rPr>
          <w:rFonts w:ascii="Open Sans" w:hAnsi="Open Sans" w:cs="Open Sans" w:eastAsia="Open Sans"/>
          <w:color w:val="59595B"/>
          <w:sz w:val="22"/>
          <w:szCs w:val="22"/>
        </w:rPr>
        <w:t xml:space="preserve">Note: SSO/2FA Gateway product removed — Azure Entra ID SSO (included in M365 E3) provides identity federation and MFA natively. CloudBrink subscription is AFFG-procured. Cisco Umbrella removed from security stack; CloudBrink ZTNA provides DNS filtering, zero-trust egress, and replaces the VDI egress IP.</w:t>
      </w:r>
    </w:p>
    <w:p>
      <w:pPr>
        <w:pStyle w:val="Heading1"/>
      </w:pPr>
      <w:r>
        <w:rPr>
          <w:rFonts w:ascii="Open Sans" w:hAnsi="Open Sans" w:cs="Open Sans" w:eastAsia="Open Sans"/>
          <w:color w:val="59595B"/>
          <w:sz w:val="22"/>
          <w:szCs w:val="22"/>
        </w:rPr>
        <w:t xml:space="preserve">9. CHANGE MANAGEMENT</w:t>
      </w:r>
    </w:p>
    <w:p>
      <w:pPr>
        <w:spacing w:before="40" w:after="40"/>
      </w:pPr>
      <w:r>
        <w:rPr>
          <w:rFonts w:ascii="Open Sans" w:hAnsi="Open Sans" w:cs="Open Sans" w:eastAsia="Open Sans"/>
          <w:b/>
          <w:bCs/>
          <w:color w:val="1A1A2E"/>
          <w:sz w:val="22"/>
          <w:szCs w:val="22"/>
        </w:rPr>
        <w:t xml:space="preserve">9.01.  </w:t>
      </w:r>
      <w:r>
        <w:rPr>
          <w:rFonts w:ascii="Open Sans" w:hAnsi="Open Sans" w:cs="Open Sans" w:eastAsia="Open Sans"/>
          <w:color w:val="59595B"/>
          <w:sz w:val="22"/>
          <w:szCs w:val="22"/>
        </w:rPr>
        <w:t xml:space="preserve">Any changes to the scope, schedule, or pricing of this SOW must be documented in a written Change Order signed by both Parties before work on the change begins.</w:t>
      </w:r>
    </w:p>
    <w:p>
      <w:pPr>
        <w:spacing w:before="40" w:after="40"/>
      </w:pPr>
      <w:r>
        <w:rPr>
          <w:rFonts w:ascii="Open Sans" w:hAnsi="Open Sans" w:cs="Open Sans" w:eastAsia="Open Sans"/>
          <w:b/>
          <w:bCs/>
          <w:color w:val="1A1A2E"/>
          <w:sz w:val="22"/>
          <w:szCs w:val="22"/>
        </w:rPr>
        <w:t xml:space="preserve">9.02.  </w:t>
      </w:r>
      <w:r>
        <w:rPr>
          <w:rFonts w:ascii="Open Sans" w:hAnsi="Open Sans" w:cs="Open Sans" w:eastAsia="Open Sans"/>
          <w:color w:val="59595B"/>
          <w:sz w:val="22"/>
          <w:szCs w:val="22"/>
        </w:rPr>
        <w:t xml:space="preserve">If Client requests work outside the defined scope, Technijian shall provide a Change Order detailing the additional work, estimated hours, and cost impact.</w:t>
      </w:r>
    </w:p>
    <w:p>
      <w:pPr>
        <w:spacing w:before="40" w:after="40"/>
      </w:pPr>
      <w:r>
        <w:rPr>
          <w:rFonts w:ascii="Open Sans" w:hAnsi="Open Sans" w:cs="Open Sans" w:eastAsia="Open Sans"/>
          <w:b/>
          <w:bCs/>
          <w:color w:val="1A1A2E"/>
          <w:sz w:val="22"/>
          <w:szCs w:val="22"/>
        </w:rPr>
        <w:t xml:space="preserve">9.03.  </w:t>
      </w:r>
      <w:r>
        <w:rPr>
          <w:rFonts w:ascii="Open Sans" w:hAnsi="Open Sans" w:cs="Open Sans" w:eastAsia="Open Sans"/>
          <w:color w:val="59595B"/>
          <w:sz w:val="22"/>
          <w:szCs w:val="22"/>
        </w:rPr>
        <w:t xml:space="preserve">Technijian shall not proceed with out-of-scope work without an approved Change Order, except in cases where delay would result in harm to Client’s systems.</w:t>
      </w:r>
    </w:p>
    <w:p>
      <w:pPr>
        <w:pStyle w:val="Heading1"/>
      </w:pPr>
      <w:r>
        <w:rPr>
          <w:rFonts w:ascii="Open Sans" w:hAnsi="Open Sans" w:cs="Open Sans" w:eastAsia="Open Sans"/>
          <w:color w:val="59595B"/>
          <w:sz w:val="22"/>
          <w:szCs w:val="22"/>
        </w:rPr>
        <w:t xml:space="preserve">10. ACCEPTANCE</w:t>
      </w:r>
    </w:p>
    <w:p>
      <w:pPr>
        <w:spacing w:before="40" w:after="40"/>
      </w:pPr>
      <w:r>
        <w:rPr>
          <w:rFonts w:ascii="Open Sans" w:hAnsi="Open Sans" w:cs="Open Sans" w:eastAsia="Open Sans"/>
          <w:b/>
          <w:bCs/>
          <w:color w:val="1A1A2E"/>
          <w:sz w:val="22"/>
          <w:szCs w:val="22"/>
        </w:rPr>
        <w:t xml:space="preserve">10.01.  </w:t>
      </w:r>
      <w:r>
        <w:rPr>
          <w:rFonts w:ascii="Open Sans" w:hAnsi="Open Sans" w:cs="Open Sans" w:eastAsia="Open Sans"/>
          <w:color w:val="59595B"/>
          <w:sz w:val="22"/>
          <w:szCs w:val="22"/>
        </w:rPr>
        <w:t xml:space="preserve">Upon completion of each phase, Technijian shall notify Client in writing that the deliverables are ready for review.</w:t>
      </w:r>
    </w:p>
    <w:p>
      <w:pPr>
        <w:spacing w:before="40" w:after="40"/>
      </w:pPr>
      <w:r>
        <w:rPr>
          <w:rFonts w:ascii="Open Sans" w:hAnsi="Open Sans" w:cs="Open Sans" w:eastAsia="Open Sans"/>
          <w:b/>
          <w:bCs/>
          <w:color w:val="1A1A2E"/>
          <w:sz w:val="22"/>
          <w:szCs w:val="22"/>
        </w:rPr>
        <w:t xml:space="preserve">10.02.  </w:t>
      </w:r>
      <w:r>
        <w:rPr>
          <w:rFonts w:ascii="Open Sans" w:hAnsi="Open Sans" w:cs="Open Sans" w:eastAsia="Open Sans"/>
          <w:color w:val="59595B"/>
          <w:sz w:val="22"/>
          <w:szCs w:val="22"/>
        </w:rPr>
        <w:t xml:space="preserve">Client shall review the deliverables and provide written acceptance or a detailed description of deficiencies within five (5) business days.</w:t>
      </w:r>
    </w:p>
    <w:p>
      <w:pPr>
        <w:spacing w:before="40" w:after="40"/>
      </w:pPr>
      <w:r>
        <w:rPr>
          <w:rFonts w:ascii="Open Sans" w:hAnsi="Open Sans" w:cs="Open Sans" w:eastAsia="Open Sans"/>
          <w:b/>
          <w:bCs/>
          <w:color w:val="1A1A2E"/>
          <w:sz w:val="22"/>
          <w:szCs w:val="22"/>
        </w:rPr>
        <w:t xml:space="preserve">10.03.  </w:t>
      </w:r>
      <w:r>
        <w:rPr>
          <w:rFonts w:ascii="Open Sans" w:hAnsi="Open Sans" w:cs="Open Sans" w:eastAsia="Open Sans"/>
          <w:color w:val="59595B"/>
          <w:sz w:val="22"/>
          <w:szCs w:val="22"/>
        </w:rPr>
        <w:t xml:space="preserve">If Client does not respond within the review period, the deliverables shall be deemed accepted.</w:t>
      </w:r>
    </w:p>
    <w:p>
      <w:pPr>
        <w:spacing w:before="40" w:after="40"/>
      </w:pPr>
      <w:r>
        <w:rPr>
          <w:rFonts w:ascii="Open Sans" w:hAnsi="Open Sans" w:cs="Open Sans" w:eastAsia="Open Sans"/>
          <w:b/>
          <w:bCs/>
          <w:color w:val="1A1A2E"/>
          <w:sz w:val="22"/>
          <w:szCs w:val="22"/>
        </w:rPr>
        <w:t xml:space="preserve">10.04.  </w:t>
      </w:r>
      <w:r>
        <w:rPr>
          <w:rFonts w:ascii="Open Sans" w:hAnsi="Open Sans" w:cs="Open Sans" w:eastAsia="Open Sans"/>
          <w:color w:val="59595B"/>
          <w:sz w:val="22"/>
          <w:szCs w:val="22"/>
        </w:rPr>
        <w:t xml:space="preserve">If deficiencies are identified, Technijian shall correct them and resubmit for review. This process shall repeat until acceptance is achieved.</w:t>
      </w:r>
    </w:p>
    <w:p>
      <w:pPr>
        <w:pStyle w:val="Heading1"/>
      </w:pPr>
      <w:r>
        <w:rPr>
          <w:rFonts w:ascii="Open Sans" w:hAnsi="Open Sans" w:cs="Open Sans" w:eastAsia="Open Sans"/>
          <w:color w:val="59595B"/>
          <w:sz w:val="22"/>
          <w:szCs w:val="22"/>
        </w:rPr>
        <w:t xml:space="preserve">11. GOVERNING TERMS</w:t>
      </w:r>
    </w:p>
    <w:p>
      <w:pPr>
        <w:spacing w:before="40" w:after="40"/>
      </w:pPr>
      <w:r>
        <w:rPr>
          <w:rFonts w:ascii="Open Sans" w:hAnsi="Open Sans" w:cs="Open Sans" w:eastAsia="Open Sans"/>
          <w:b/>
          <w:bCs/>
          <w:color w:val="1A1A2E"/>
          <w:sz w:val="22"/>
          <w:szCs w:val="22"/>
        </w:rPr>
        <w:t xml:space="preserve">11.01.  </w:t>
      </w:r>
      <w:r>
        <w:rPr>
          <w:rFonts w:ascii="Open Sans" w:hAnsi="Open Sans" w:cs="Open Sans" w:eastAsia="Open Sans"/>
          <w:color w:val="59595B"/>
          <w:sz w:val="22"/>
          <w:szCs w:val="22"/>
        </w:rPr>
        <w:t xml:space="preserve">This SOW is governed by the Master Service Agreement MSA-AFFG-2026 between the Parties. In the event of a conflict between this SOW and the MSA, the MSA shall prevail unless this SOW expressly states otherwise.</w:t>
      </w:r>
    </w:p>
    <w:p>
      <w:pPr>
        <w:pStyle w:val="Heading1"/>
      </w:pPr>
      <w:r>
        <w:rPr>
          <w:rFonts w:ascii="Open Sans" w:hAnsi="Open Sans" w:cs="Open Sans" w:eastAsia="Open Sans"/>
          <w:color w:val="59595B"/>
          <w:sz w:val="22"/>
          <w:szCs w:val="22"/>
        </w:rPr>
        <w:t xml:space="preserve">SIGNATURES</w:t>
      </w:r>
    </w:p>
    <w:p>
      <w:pPr>
        <w:spacing w:before="120" w:after="0"/>
      </w:pPr>
      <w:r>
        <w:rPr>
          <w:rFonts w:ascii="Open Sans" w:hAnsi="Open Sans" w:cs="Open Sans" w:eastAsia="Open Sans"/>
          <w:b/>
          <w:bCs/>
          <w:color w:val="1A1A2E"/>
          <w:sz w:val="22"/>
          <w:szCs w:val="22"/>
        </w:rPr>
        <w:t xml:space="preserve">TECHNIJIAN, INC.</w:t>
      </w:r>
    </w:p>
    <w:p>
      <w:pPr>
        <w:spacing w:before="240" w:after="0"/>
      </w:pPr>
      <w:r>
        <w:rPr>
          <w:rFonts w:ascii="Open Sans" w:hAnsi="Open Sans" w:cs="Open Sans" w:eastAsia="Open Sans"/>
          <w:color w:val="59595B"/>
          <w:sz w:val="22"/>
          <w:szCs w:val="22"/>
        </w:rPr>
        <w:t xml:space="preserve">By: ___________________________________</w:t>
      </w:r>
    </w:p>
    <w:p>
      <w:pPr>
        <w:spacing w:before="240" w:after="0"/>
      </w:pPr>
      <w:r>
        <w:rPr>
          <w:rFonts w:ascii="Open Sans" w:hAnsi="Open Sans" w:cs="Open Sans" w:eastAsia="Open Sans"/>
          <w:color w:val="59595B"/>
          <w:sz w:val="22"/>
          <w:szCs w:val="22"/>
        </w:rPr>
        <w:t xml:space="preserve">Name: _________________________________</w:t>
      </w:r>
    </w:p>
    <w:p>
      <w:pPr>
        <w:spacing w:before="240" w:after="0"/>
      </w:pPr>
      <w:r>
        <w:rPr>
          <w:rFonts w:ascii="Open Sans" w:hAnsi="Open Sans" w:cs="Open Sans" w:eastAsia="Open Sans"/>
          <w:color w:val="59595B"/>
          <w:sz w:val="22"/>
          <w:szCs w:val="22"/>
        </w:rPr>
        <w:t xml:space="preserve">Title: _________________________________</w:t>
      </w:r>
    </w:p>
    <w:p>
      <w:pPr>
        <w:spacing w:before="240" w:after="0"/>
      </w:pPr>
      <w:r>
        <w:rPr>
          <w:rFonts w:ascii="Open Sans" w:hAnsi="Open Sans" w:cs="Open Sans" w:eastAsia="Open Sans"/>
          <w:color w:val="59595B"/>
          <w:sz w:val="22"/>
          <w:szCs w:val="22"/>
        </w:rPr>
        <w:t xml:space="preserve">Date: _________________________________</w:t>
      </w:r>
    </w:p>
    <w:p/>
    <w:p>
      <w:pPr>
        <w:spacing w:before="120" w:after="0"/>
      </w:pPr>
      <w:r>
        <w:rPr>
          <w:rFonts w:ascii="Open Sans" w:hAnsi="Open Sans" w:cs="Open Sans" w:eastAsia="Open Sans"/>
          <w:b/>
          <w:bCs/>
          <w:color w:val="1A1A2E"/>
          <w:sz w:val="22"/>
          <w:szCs w:val="22"/>
        </w:rPr>
        <w:t xml:space="preserve">AMERICAN FUNDSTARS FINANCIAL GROUP LLC</w:t>
      </w:r>
    </w:p>
    <w:p>
      <w:pPr>
        <w:spacing w:before="240" w:after="0"/>
      </w:pPr>
      <w:r>
        <w:rPr>
          <w:rFonts w:ascii="Open Sans" w:hAnsi="Open Sans" w:cs="Open Sans" w:eastAsia="Open Sans"/>
          <w:color w:val="59595B"/>
          <w:sz w:val="22"/>
          <w:szCs w:val="22"/>
        </w:rPr>
        <w:t xml:space="preserve">By: ___________________________________</w:t>
      </w:r>
    </w:p>
    <w:p>
      <w:pPr>
        <w:spacing w:before="240" w:after="0"/>
      </w:pPr>
      <w:r>
        <w:rPr>
          <w:rFonts w:ascii="Open Sans" w:hAnsi="Open Sans" w:cs="Open Sans" w:eastAsia="Open Sans"/>
          <w:color w:val="59595B"/>
          <w:sz w:val="22"/>
          <w:szCs w:val="22"/>
        </w:rPr>
        <w:t xml:space="preserve">Name: _________________________________</w:t>
      </w:r>
    </w:p>
    <w:p>
      <w:pPr>
        <w:spacing w:before="240" w:after="0"/>
      </w:pPr>
      <w:r>
        <w:rPr>
          <w:rFonts w:ascii="Open Sans" w:hAnsi="Open Sans" w:cs="Open Sans" w:eastAsia="Open Sans"/>
          <w:color w:val="59595B"/>
          <w:sz w:val="22"/>
          <w:szCs w:val="22"/>
        </w:rPr>
        <w:t xml:space="preserve">Title: _________________________________</w:t>
      </w:r>
    </w:p>
    <w:p>
      <w:pPr>
        <w:spacing w:before="240" w:after="0"/>
      </w:pPr>
      <w:r>
        <w:rPr>
          <w:rFonts w:ascii="Open Sans" w:hAnsi="Open Sans" w:cs="Open Sans" w:eastAsia="Open Sans"/>
          <w:color w:val="59595B"/>
          <w:sz w:val="22"/>
          <w:szCs w:val="22"/>
        </w:rPr>
        <w:t xml:space="preserve">Date: _________________________________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Open Sans" w:cs="Open Sans" w:eastAsia="Open Sans" w:hAnsi="Open Sans"/>
      <w:b/>
      <w:bCs/>
      <w:color w:val="006DB6"/>
      <w:sz w:val="36"/>
      <w:szCs w:val="36"/>
    </w:rPr>
  </w:style>
  <w:style w:type="paragraph" w:styleId="Heading2">
    <w:name w:val="Heading 2"/>
    <w:basedOn w:val="Normal"/>
    <w:next w:val="Normal"/>
    <w:qFormat/>
    <w:pPr>
      <w:spacing w:after="160" w:before="280"/>
      <w:outlineLvl w:val="1"/>
    </w:pPr>
    <w:rPr>
      <w:rFonts w:ascii="Open Sans" w:cs="Open Sans" w:eastAsia="Open Sans" w:hAnsi="Open Sans"/>
      <w:b/>
      <w:bCs/>
      <w:color w:val="1A1A2E"/>
      <w:sz w:val="28"/>
      <w:szCs w:val="28"/>
    </w:rPr>
  </w:style>
  <w:style w:type="paragraph" w:styleId="Heading3">
    <w:name w:val="Heading 3"/>
    <w:basedOn w:val="Normal"/>
    <w:next w:val="Normal"/>
    <w:qFormat/>
    <w:pPr>
      <w:spacing w:after="120" w:before="200"/>
      <w:outlineLvl w:val="2"/>
    </w:pPr>
    <w:rPr>
      <w:rFonts w:ascii="Open Sans" w:cs="Open Sans" w:eastAsia="Open Sans" w:hAnsi="Open Sans"/>
      <w:b/>
      <w:bCs/>
      <w:color w:val="1A1A2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37ab963d63198c507d4d2f60f27ab9adb7b80fb.jp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2026-04-16T19:58:48.420Z</dcterms:created>
  <dcterms:modified xsi:type="dcterms:W3CDTF">2026-04-16T19:58:48.422Z</dcterms:modified>
</cp:coreProperties>
</file>

<file path=docProps/custom.xml><?xml version="1.0" encoding="utf-8"?>
<Properties xmlns="http://schemas.openxmlformats.org/officeDocument/2006/custom-properties" xmlns:vt="http://schemas.openxmlformats.org/officeDocument/2006/docPropsVTypes"/>
</file>