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pen Sans" w:hAnsi="Open Sans" w:cs="Open Sans"/>
          <w:b/>
          <w:color w:val="006DB6"/>
          <w:sz w:val="36"/>
        </w:rPr>
        <w:t>Annexure A — Cost to Company (CTC) Breakup</w:t>
      </w:r>
      <w:r>
        <w:rPr>
          <w:rFonts w:ascii="Open Sans" w:hAnsi="Open Sans" w:cs="Open Sans"/>
          <w:b/>
          <w:color w:val="006DB6"/>
          <w:sz w:val="36"/>
        </w:rPr>
      </w:r>
    </w:p>
    <w:p>
      <w:r>
        <w:rPr>
          <w:rFonts w:ascii="Open Sans" w:hAnsi="Open Sans" w:cs="Open Sans"/>
          <w:color w:val="59595B"/>
        </w:rPr>
      </w:r>
      <w:r>
        <w:rPr>
          <w:rFonts w:ascii="Open Sans" w:hAnsi="Open Sans" w:cs="Open Sans"/>
          <w:b/>
          <w:color w:val="59595B"/>
        </w:rPr>
        <w:t>Employee Name:</w:t>
      </w:r>
      <w:r>
        <w:rPr>
          <w:rFonts w:ascii="Open Sans" w:hAnsi="Open Sans" w:cs="Open Sans"/>
          <w:color w:val="59595B"/>
        </w:rPr>
        <w:t xml:space="preserv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 xml:space="preserve"> </w:t>
      </w:r>
      <w:r>
        <w:rPr>
          <w:rFonts w:ascii="Open Sans" w:hAnsi="Open Sans" w:cs="Open Sans"/>
          <w:b/>
          <w:color w:val="59595B"/>
        </w:rPr>
        <w:t>Emp ID:</w:t>
      </w:r>
      <w:r>
        <w:rPr>
          <w:rFonts w:ascii="Open Sans" w:hAnsi="Open Sans" w:cs="Open Sans"/>
          <w:color w:val="59595B"/>
        </w:rPr>
        <w:t xml:space="preserve"> </w:t>
      </w:r>
      <w:r>
        <w:rPr>
          <w:rFonts w:ascii="Open Sans" w:hAnsi="Open Sans" w:cs="Open Sans"/>
          <w:b/>
          <w:i/>
          <w:color w:val="59595B"/>
        </w:rPr>
        <w:t>_</w:t>
      </w:r>
      <w:r>
        <w:rPr>
          <w:rFonts w:ascii="Open Sans" w:hAnsi="Open Sans" w:cs="Open Sans"/>
          <w:b/>
          <w:i/>
          <w:color w:val="59595B"/>
        </w:rPr>
        <w:t>_</w:t>
        <w:br/>
      </w:r>
      <w:r>
        <w:rPr>
          <w:rFonts w:ascii="Open Sans" w:hAnsi="Open Sans" w:cs="Open Sans"/>
          <w:b/>
          <w:color w:val="59595B"/>
        </w:rPr>
      </w:r>
      <w:r>
        <w:rPr>
          <w:rFonts w:ascii="Open Sans" w:hAnsi="Open Sans" w:cs="Open Sans"/>
          <w:b/>
          <w:color w:val="59595B"/>
        </w:rPr>
        <w:t>Designation:</w:t>
      </w:r>
      <w:r>
        <w:rPr>
          <w:rFonts w:ascii="Open Sans" w:hAnsi="Open Sans" w:cs="Open Sans"/>
          <w:color w:val="59595B"/>
        </w:rPr>
        <w:t xml:space="preserv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color w:val="59595B"/>
        </w:rPr>
        <w:t xml:space="preserve"> </w:t>
      </w:r>
      <w:r>
        <w:rPr>
          <w:rFonts w:ascii="Open Sans" w:hAnsi="Open Sans" w:cs="Open Sans"/>
          <w:b/>
          <w:color w:val="59595B"/>
        </w:rPr>
        <w:t>Grade / Band:</w:t>
      </w:r>
      <w:r>
        <w:rPr>
          <w:rFonts w:ascii="Open Sans" w:hAnsi="Open Sans" w:cs="Open Sans"/>
          <w:color w:val="59595B"/>
        </w:rPr>
        <w:t xml:space="preserve"> </w:t>
      </w:r>
      <w:r>
        <w:rPr>
          <w:rFonts w:ascii="Open Sans" w:hAnsi="Open Sans" w:cs="Open Sans"/>
          <w:b/>
          <w:i/>
          <w:color w:val="59595B"/>
        </w:rPr>
        <w:t>_</w:t>
        <w:br/>
      </w:r>
      <w:r>
        <w:rPr>
          <w:rFonts w:ascii="Open Sans" w:hAnsi="Open Sans" w:cs="Open Sans"/>
          <w:b/>
          <w:i/>
          <w:color w:val="59595B"/>
        </w:rPr>
      </w:r>
      <w:r>
        <w:rPr>
          <w:rFonts w:ascii="Open Sans" w:hAnsi="Open Sans" w:cs="Open Sans"/>
          <w:b/>
          <w:i/>
          <w:color w:val="59595B"/>
        </w:rPr>
        <w:t>Date of Joining / Effective From:</w:t>
      </w:r>
      <w:r>
        <w:rPr>
          <w:rFonts w:ascii="Open Sans" w:hAnsi="Open Sans" w:cs="Open Sans"/>
          <w:i/>
          <w:color w:val="59595B"/>
        </w:rPr>
        <w:t xml:space="preserve"> </w:t>
      </w:r>
      <w:r>
        <w:rPr>
          <w:rFonts w:ascii="Open Sans" w:hAnsi="Open Sans" w:cs="Open Sans"/>
          <w:b/>
          <w:i/>
          <w:color w:val="59595B"/>
        </w:rPr>
        <w:t>_</w:t>
      </w:r>
      <w:r>
        <w:rPr>
          <w:rFonts w:ascii="Open Sans" w:hAnsi="Open Sans" w:cs="Open Sans"/>
          <w:color w:val="59595B"/>
        </w:rPr>
        <w:t xml:space="preserve">__ </w:t>
      </w:r>
      <w:r>
        <w:rPr>
          <w:rFonts w:ascii="Open Sans" w:hAnsi="Open Sans" w:cs="Open Sans"/>
          <w:b/>
          <w:color w:val="59595B"/>
        </w:rPr>
        <w:t>Work Location:</w:t>
      </w:r>
      <w:r>
        <w:rPr>
          <w:rFonts w:ascii="Open Sans" w:hAnsi="Open Sans" w:cs="Open Sans"/>
          <w:color w:val="59595B"/>
        </w:rPr>
        <w:t xml:space="preserve"> [Panchkula, Haryana]</w:t>
        <w:br/>
      </w:r>
      <w:r>
        <w:rPr>
          <w:rFonts w:ascii="Open Sans" w:hAnsi="Open Sans" w:cs="Open Sans"/>
          <w:color w:val="59595B"/>
        </w:rPr>
      </w:r>
      <w:r>
        <w:rPr>
          <w:rFonts w:ascii="Open Sans" w:hAnsi="Open Sans" w:cs="Open Sans"/>
          <w:b/>
          <w:color w:val="59595B"/>
        </w:rPr>
        <w:t>Annual CTC:</w:t>
      </w:r>
      <w:r>
        <w:rPr>
          <w:rFonts w:ascii="Open Sans" w:hAnsi="Open Sans" w:cs="Open Sans"/>
          <w:color w:val="59595B"/>
        </w:rPr>
        <w:t xml:space="preserve"> INR </w:t>
      </w:r>
      <w:r>
        <w:rPr>
          <w:rFonts w:ascii="Open Sans" w:hAnsi="Open Sans" w:cs="Open Sans"/>
          <w:b/>
          <w:i/>
          <w:color w:val="59595B"/>
        </w:rPr>
        <w:t>_</w:t>
      </w:r>
      <w:r>
        <w:rPr>
          <w:rFonts w:ascii="Open Sans" w:hAnsi="Open Sans" w:cs="Open Sans"/>
          <w:b/>
          <w:i/>
          <w:color w:val="59595B"/>
        </w:rPr>
        <w:t>_</w:t>
      </w:r>
      <w:r>
        <w:rPr>
          <w:rFonts w:ascii="Open Sans" w:hAnsi="Open Sans" w:cs="Open Sans"/>
          <w:b/>
          <w:color w:val="59595B"/>
        </w:rPr>
        <w:t xml:space="preserve"> (Rupees </w:t>
      </w:r>
      <w:r>
        <w:rPr>
          <w:rFonts w:ascii="Open Sans" w:hAnsi="Open Sans" w:cs="Open Sans"/>
          <w:b/>
          <w:i/>
          <w:color w:val="59595B"/>
        </w:rPr>
        <w:t>_</w:t>
      </w:r>
      <w:r>
        <w:rPr>
          <w:rFonts w:ascii="Open Sans" w:hAnsi="Open Sans" w:cs="Open Sans"/>
          <w:color w:val="59595B"/>
        </w:rPr>
        <w:t>___ only)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This Annexure forms part of the Appointment Letter / Confirmation Letter / Increment Letter / Promotion Letter dated </w:t>
      </w:r>
      <w:r>
        <w:rPr>
          <w:rFonts w:ascii="Open Sans" w:hAnsi="Open Sans" w:cs="Open Sans"/>
          <w:b/>
          <w:i/>
          <w:color w:val="59595B"/>
        </w:rPr>
        <w:t>_</w:t>
      </w:r>
      <w:r>
        <w:rPr>
          <w:rFonts w:ascii="Open Sans" w:hAnsi="Open Sans" w:cs="Open Sans"/>
          <w:color w:val="59595B"/>
        </w:rPr>
        <w:t>_____ issued by Technijian IT Services Pvt. Ltd. (the "</w:t>
      </w:r>
      <w:r>
        <w:rPr>
          <w:rFonts w:ascii="Open Sans" w:hAnsi="Open Sans" w:cs="Open Sans"/>
          <w:b/>
          <w:color w:val="59595B"/>
        </w:rPr>
        <w:t>Company</w:t>
      </w:r>
      <w:r>
        <w:rPr>
          <w:rFonts w:ascii="Open Sans" w:hAnsi="Open Sans" w:cs="Open Sans"/>
          <w:color w:val="59595B"/>
        </w:rPr>
        <w:t>").</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1. Monthly and Annual Components (INR)</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rPr>
                <w:rFonts w:ascii="Open Sans" w:hAnsi="Open Sans"/>
                <w:b/>
                <w:sz w:val="20"/>
              </w:rPr>
              <w:t>#</w:t>
            </w:r>
          </w:p>
        </w:tc>
        <w:tc>
          <w:tcPr>
            <w:tcW w:type="dxa" w:w="1958"/>
          </w:tcPr>
          <w:p>
            <w:r>
              <w:rPr>
                <w:rFonts w:ascii="Open Sans" w:hAnsi="Open Sans"/>
                <w:b/>
                <w:sz w:val="20"/>
              </w:rPr>
              <w:t>Component</w:t>
            </w:r>
          </w:p>
        </w:tc>
        <w:tc>
          <w:tcPr>
            <w:tcW w:type="dxa" w:w="1958"/>
          </w:tcPr>
          <w:p>
            <w:r>
              <w:rPr>
                <w:rFonts w:ascii="Open Sans" w:hAnsi="Open Sans"/>
                <w:b/>
                <w:sz w:val="20"/>
              </w:rPr>
              <w:t>Monthly (INR)</w:t>
            </w:r>
          </w:p>
        </w:tc>
        <w:tc>
          <w:tcPr>
            <w:tcW w:type="dxa" w:w="1958"/>
          </w:tcPr>
          <w:p>
            <w:r>
              <w:rPr>
                <w:rFonts w:ascii="Open Sans" w:hAnsi="Open Sans"/>
                <w:b/>
                <w:sz w:val="20"/>
              </w:rPr>
              <w:t>Annual (INR)</w:t>
            </w:r>
          </w:p>
        </w:tc>
        <w:tc>
          <w:tcPr>
            <w:tcW w:type="dxa" w:w="1958"/>
          </w:tcPr>
          <w:p>
            <w:r>
              <w:rPr>
                <w:rFonts w:ascii="Open Sans" w:hAnsi="Open Sans"/>
                <w:b/>
                <w:sz w:val="20"/>
              </w:rPr>
              <w:t>Basis</w:t>
            </w:r>
          </w:p>
        </w:tc>
      </w:tr>
      <w:tr>
        <w:tc>
          <w:tcPr>
            <w:tcW w:type="dxa" w:w="1958"/>
          </w:tcPr>
          <w:p>
            <w:r>
              <w:rPr>
                <w:rFonts w:ascii="Open Sans" w:hAnsi="Open Sans"/>
                <w:sz w:val="20"/>
              </w:rPr>
              <w:t>A</w:t>
            </w:r>
          </w:p>
        </w:tc>
        <w:tc>
          <w:tcPr>
            <w:tcW w:type="dxa" w:w="1958"/>
          </w:tcPr>
          <w:p>
            <w:r>
              <w:rPr>
                <w:rFonts w:ascii="Open Sans" w:hAnsi="Open Sans"/>
                <w:sz w:val="20"/>
              </w:rPr>
              <w:t>Basic Salary</w:t>
            </w:r>
          </w:p>
        </w:tc>
        <w:tc>
          <w:tcPr>
            <w:tcW w:type="dxa" w:w="1958"/>
          </w:tcPr>
          <w:p/>
        </w:tc>
        <w:tc>
          <w:tcPr>
            <w:tcW w:type="dxa" w:w="1958"/>
          </w:tcPr>
          <w:p/>
        </w:tc>
        <w:tc>
          <w:tcPr>
            <w:tcW w:type="dxa" w:w="1958"/>
          </w:tcPr>
          <w:p>
            <w:r>
              <w:rPr>
                <w:rFonts w:ascii="Open Sans" w:hAnsi="Open Sans"/>
                <w:sz w:val="20"/>
              </w:rPr>
              <w:t>40%-50% of Annual CTC</w:t>
            </w:r>
          </w:p>
        </w:tc>
      </w:tr>
      <w:tr>
        <w:tc>
          <w:tcPr>
            <w:tcW w:type="dxa" w:w="1958"/>
          </w:tcPr>
          <w:p>
            <w:r>
              <w:rPr>
                <w:rFonts w:ascii="Open Sans" w:hAnsi="Open Sans"/>
                <w:sz w:val="20"/>
              </w:rPr>
              <w:t>B</w:t>
            </w:r>
          </w:p>
        </w:tc>
        <w:tc>
          <w:tcPr>
            <w:tcW w:type="dxa" w:w="1958"/>
          </w:tcPr>
          <w:p>
            <w:r>
              <w:rPr>
                <w:rFonts w:ascii="Open Sans" w:hAnsi="Open Sans"/>
                <w:sz w:val="20"/>
              </w:rPr>
              <w:t>House Rent Allowance (HRA)</w:t>
            </w:r>
          </w:p>
        </w:tc>
        <w:tc>
          <w:tcPr>
            <w:tcW w:type="dxa" w:w="1958"/>
          </w:tcPr>
          <w:p/>
        </w:tc>
        <w:tc>
          <w:tcPr>
            <w:tcW w:type="dxa" w:w="1958"/>
          </w:tcPr>
          <w:p/>
        </w:tc>
        <w:tc>
          <w:tcPr>
            <w:tcW w:type="dxa" w:w="1958"/>
          </w:tcPr>
          <w:p>
            <w:r>
              <w:rPr>
                <w:rFonts w:ascii="Open Sans" w:hAnsi="Open Sans"/>
                <w:sz w:val="20"/>
              </w:rPr>
              <w:t>40% of Basic (non-metro) / 50% (metro)</w:t>
            </w:r>
          </w:p>
        </w:tc>
      </w:tr>
      <w:tr>
        <w:tc>
          <w:tcPr>
            <w:tcW w:type="dxa" w:w="1958"/>
          </w:tcPr>
          <w:p>
            <w:r>
              <w:rPr>
                <w:rFonts w:ascii="Open Sans" w:hAnsi="Open Sans"/>
                <w:sz w:val="20"/>
              </w:rPr>
              <w:t>C</w:t>
            </w:r>
          </w:p>
        </w:tc>
        <w:tc>
          <w:tcPr>
            <w:tcW w:type="dxa" w:w="1958"/>
          </w:tcPr>
          <w:p>
            <w:r>
              <w:rPr>
                <w:rFonts w:ascii="Open Sans" w:hAnsi="Open Sans"/>
                <w:sz w:val="20"/>
              </w:rPr>
              <w:t>Conveyance / Transport Allowance</w:t>
            </w:r>
          </w:p>
        </w:tc>
        <w:tc>
          <w:tcPr>
            <w:tcW w:type="dxa" w:w="1958"/>
          </w:tcPr>
          <w:p/>
        </w:tc>
        <w:tc>
          <w:tcPr>
            <w:tcW w:type="dxa" w:w="1958"/>
          </w:tcPr>
          <w:p/>
        </w:tc>
        <w:tc>
          <w:tcPr>
            <w:tcW w:type="dxa" w:w="1958"/>
          </w:tcPr>
          <w:p>
            <w:r>
              <w:rPr>
                <w:rFonts w:ascii="Open Sans" w:hAnsi="Open Sans"/>
                <w:sz w:val="20"/>
              </w:rPr>
              <w:t>As per policy</w:t>
            </w:r>
          </w:p>
        </w:tc>
      </w:tr>
      <w:tr>
        <w:tc>
          <w:tcPr>
            <w:tcW w:type="dxa" w:w="1958"/>
          </w:tcPr>
          <w:p>
            <w:r>
              <w:rPr>
                <w:rFonts w:ascii="Open Sans" w:hAnsi="Open Sans"/>
                <w:sz w:val="20"/>
              </w:rPr>
              <w:t>D</w:t>
            </w:r>
          </w:p>
        </w:tc>
        <w:tc>
          <w:tcPr>
            <w:tcW w:type="dxa" w:w="1958"/>
          </w:tcPr>
          <w:p>
            <w:r>
              <w:rPr>
                <w:rFonts w:ascii="Open Sans" w:hAnsi="Open Sans"/>
                <w:sz w:val="20"/>
              </w:rPr>
              <w:t>Special Allowance</w:t>
            </w:r>
          </w:p>
        </w:tc>
        <w:tc>
          <w:tcPr>
            <w:tcW w:type="dxa" w:w="1958"/>
          </w:tcPr>
          <w:p/>
        </w:tc>
        <w:tc>
          <w:tcPr>
            <w:tcW w:type="dxa" w:w="1958"/>
          </w:tcPr>
          <w:p/>
        </w:tc>
        <w:tc>
          <w:tcPr>
            <w:tcW w:type="dxa" w:w="1958"/>
          </w:tcPr>
          <w:p>
            <w:r>
              <w:rPr>
                <w:rFonts w:ascii="Open Sans" w:hAnsi="Open Sans"/>
                <w:sz w:val="20"/>
              </w:rPr>
              <w:t>Balancing figure</w:t>
            </w:r>
          </w:p>
        </w:tc>
      </w:tr>
      <w:tr>
        <w:tc>
          <w:tcPr>
            <w:tcW w:type="dxa" w:w="1958"/>
          </w:tcPr>
          <w:p>
            <w:r>
              <w:rPr>
                <w:rFonts w:ascii="Open Sans" w:hAnsi="Open Sans"/>
                <w:sz w:val="20"/>
              </w:rPr>
              <w:t>E</w:t>
            </w:r>
          </w:p>
        </w:tc>
        <w:tc>
          <w:tcPr>
            <w:tcW w:type="dxa" w:w="1958"/>
          </w:tcPr>
          <w:p>
            <w:r>
              <w:rPr>
                <w:rFonts w:ascii="Open Sans" w:hAnsi="Open Sans"/>
                <w:sz w:val="20"/>
              </w:rPr>
              <w:t>Leave Travel Allowance (LTA)</w:t>
            </w:r>
          </w:p>
        </w:tc>
        <w:tc>
          <w:tcPr>
            <w:tcW w:type="dxa" w:w="1958"/>
          </w:tcPr>
          <w:p/>
        </w:tc>
        <w:tc>
          <w:tcPr>
            <w:tcW w:type="dxa" w:w="1958"/>
          </w:tcPr>
          <w:p/>
        </w:tc>
        <w:tc>
          <w:tcPr>
            <w:tcW w:type="dxa" w:w="1958"/>
          </w:tcPr>
          <w:p>
            <w:r>
              <w:rPr>
                <w:rFonts w:ascii="Open Sans" w:hAnsi="Open Sans"/>
                <w:sz w:val="20"/>
              </w:rPr>
              <w:t>As per policy, once in block (tax-exempt u/s 10(5))</w:t>
            </w:r>
          </w:p>
        </w:tc>
      </w:tr>
      <w:tr>
        <w:tc>
          <w:tcPr>
            <w:tcW w:type="dxa" w:w="1958"/>
          </w:tcPr>
          <w:p>
            <w:r>
              <w:rPr>
                <w:rFonts w:ascii="Open Sans" w:hAnsi="Open Sans"/>
                <w:sz w:val="20"/>
              </w:rPr>
              <w:t>F</w:t>
            </w:r>
          </w:p>
        </w:tc>
        <w:tc>
          <w:tcPr>
            <w:tcW w:type="dxa" w:w="1958"/>
          </w:tcPr>
          <w:p>
            <w:r>
              <w:rPr>
                <w:rFonts w:ascii="Open Sans" w:hAnsi="Open Sans"/>
                <w:sz w:val="20"/>
              </w:rPr>
              <w:t>Children Education / Books / Communication (optional)</w:t>
            </w:r>
          </w:p>
        </w:tc>
        <w:tc>
          <w:tcPr>
            <w:tcW w:type="dxa" w:w="1958"/>
          </w:tcPr>
          <w:p/>
        </w:tc>
        <w:tc>
          <w:tcPr>
            <w:tcW w:type="dxa" w:w="1958"/>
          </w:tcPr>
          <w:p/>
        </w:tc>
        <w:tc>
          <w:tcPr>
            <w:tcW w:type="dxa" w:w="1958"/>
          </w:tcPr>
          <w:p>
            <w:r>
              <w:rPr>
                <w:rFonts w:ascii="Open Sans" w:hAnsi="Open Sans"/>
                <w:sz w:val="20"/>
              </w:rPr>
              <w:t>As per policy</w:t>
            </w:r>
          </w:p>
        </w:tc>
      </w:tr>
      <w:tr>
        <w:tc>
          <w:tcPr>
            <w:tcW w:type="dxa" w:w="1958"/>
          </w:tcPr>
          <w:p/>
        </w:tc>
        <w:tc>
          <w:tcPr>
            <w:tcW w:type="dxa" w:w="1958"/>
          </w:tcPr>
          <w:p>
            <w:r>
              <w:rPr>
                <w:rFonts w:ascii="Open Sans" w:hAnsi="Open Sans"/>
                <w:b/>
                <w:sz w:val="20"/>
              </w:rPr>
              <w:t>Gross Monthly / Annual Fixed Pay (A to F)</w:t>
            </w:r>
          </w:p>
        </w:tc>
        <w:tc>
          <w:tcPr>
            <w:tcW w:type="dxa" w:w="1958"/>
          </w:tcPr>
          <w:p/>
        </w:tc>
        <w:tc>
          <w:tcPr>
            <w:tcW w:type="dxa" w:w="1958"/>
          </w:tcPr>
          <w:p/>
        </w:tc>
        <w:tc>
          <w:tcPr>
            <w:tcW w:type="dxa" w:w="1958"/>
          </w:tcPr>
          <w:p/>
        </w:tc>
      </w:tr>
      <w:tr>
        <w:tc>
          <w:tcPr>
            <w:tcW w:type="dxa" w:w="1958"/>
          </w:tcPr>
          <w:p>
            <w:r>
              <w:rPr>
                <w:rFonts w:ascii="Open Sans" w:hAnsi="Open Sans"/>
                <w:sz w:val="20"/>
              </w:rPr>
              <w:t>G</w:t>
            </w:r>
          </w:p>
        </w:tc>
        <w:tc>
          <w:tcPr>
            <w:tcW w:type="dxa" w:w="1958"/>
          </w:tcPr>
          <w:p>
            <w:r>
              <w:rPr>
                <w:rFonts w:ascii="Open Sans" w:hAnsi="Open Sans"/>
                <w:sz w:val="20"/>
              </w:rPr>
              <w:t>Employer Provident Fund contribution</w:t>
            </w:r>
          </w:p>
        </w:tc>
        <w:tc>
          <w:tcPr>
            <w:tcW w:type="dxa" w:w="1958"/>
          </w:tcPr>
          <w:p/>
        </w:tc>
        <w:tc>
          <w:tcPr>
            <w:tcW w:type="dxa" w:w="1958"/>
          </w:tcPr>
          <w:p/>
        </w:tc>
        <w:tc>
          <w:tcPr>
            <w:tcW w:type="dxa" w:w="1958"/>
          </w:tcPr>
          <w:p>
            <w:r>
              <w:rPr>
                <w:rFonts w:ascii="Open Sans" w:hAnsi="Open Sans"/>
                <w:sz w:val="20"/>
              </w:rPr>
              <w:t>12% of Basic, EPF &amp; MP Act, 1952 (Note 1)</w:t>
            </w:r>
          </w:p>
        </w:tc>
      </w:tr>
      <w:tr>
        <w:tc>
          <w:tcPr>
            <w:tcW w:type="dxa" w:w="1958"/>
          </w:tcPr>
          <w:p>
            <w:r>
              <w:rPr>
                <w:rFonts w:ascii="Open Sans" w:hAnsi="Open Sans"/>
                <w:sz w:val="20"/>
              </w:rPr>
              <w:t>H</w:t>
            </w:r>
          </w:p>
        </w:tc>
        <w:tc>
          <w:tcPr>
            <w:tcW w:type="dxa" w:w="1958"/>
          </w:tcPr>
          <w:p>
            <w:r>
              <w:rPr>
                <w:rFonts w:ascii="Open Sans" w:hAnsi="Open Sans"/>
                <w:sz w:val="20"/>
              </w:rPr>
              <w:t>Employer ESI contribution</w:t>
            </w:r>
          </w:p>
        </w:tc>
        <w:tc>
          <w:tcPr>
            <w:tcW w:type="dxa" w:w="1958"/>
          </w:tcPr>
          <w:p/>
        </w:tc>
        <w:tc>
          <w:tcPr>
            <w:tcW w:type="dxa" w:w="1958"/>
          </w:tcPr>
          <w:p/>
        </w:tc>
        <w:tc>
          <w:tcPr>
            <w:tcW w:type="dxa" w:w="1958"/>
          </w:tcPr>
          <w:p>
            <w:r>
              <w:rPr>
                <w:rFonts w:ascii="Open Sans" w:hAnsi="Open Sans"/>
                <w:sz w:val="20"/>
              </w:rPr>
              <w:t>3.25% of wages, ESI Act, 1948 (Note 2)</w:t>
            </w:r>
          </w:p>
        </w:tc>
      </w:tr>
      <w:tr>
        <w:tc>
          <w:tcPr>
            <w:tcW w:type="dxa" w:w="1958"/>
          </w:tcPr>
          <w:p>
            <w:r>
              <w:rPr>
                <w:rFonts w:ascii="Open Sans" w:hAnsi="Open Sans"/>
                <w:sz w:val="20"/>
              </w:rPr>
              <w:t>I</w:t>
            </w:r>
          </w:p>
        </w:tc>
        <w:tc>
          <w:tcPr>
            <w:tcW w:type="dxa" w:w="1958"/>
          </w:tcPr>
          <w:p>
            <w:r>
              <w:rPr>
                <w:rFonts w:ascii="Open Sans" w:hAnsi="Open Sans"/>
                <w:sz w:val="20"/>
              </w:rPr>
              <w:t>Gratuity (provisioned)</w:t>
            </w:r>
          </w:p>
        </w:tc>
        <w:tc>
          <w:tcPr>
            <w:tcW w:type="dxa" w:w="1958"/>
          </w:tcPr>
          <w:p/>
        </w:tc>
        <w:tc>
          <w:tcPr>
            <w:tcW w:type="dxa" w:w="1958"/>
          </w:tcPr>
          <w:p/>
        </w:tc>
        <w:tc>
          <w:tcPr>
            <w:tcW w:type="dxa" w:w="1958"/>
          </w:tcPr>
          <w:p>
            <w:r>
              <w:rPr>
                <w:rFonts w:ascii="Open Sans" w:hAnsi="Open Sans"/>
                <w:sz w:val="20"/>
              </w:rPr>
              <w:t>~4.81% of Basic, Payment of Gratuity Act, 1972 (Note 3)</w:t>
            </w:r>
          </w:p>
        </w:tc>
      </w:tr>
      <w:tr>
        <w:tc>
          <w:tcPr>
            <w:tcW w:type="dxa" w:w="1958"/>
          </w:tcPr>
          <w:p>
            <w:r>
              <w:rPr>
                <w:rFonts w:ascii="Open Sans" w:hAnsi="Open Sans"/>
                <w:sz w:val="20"/>
              </w:rPr>
              <w:t>J</w:t>
            </w:r>
          </w:p>
        </w:tc>
        <w:tc>
          <w:tcPr>
            <w:tcW w:type="dxa" w:w="1958"/>
          </w:tcPr>
          <w:p>
            <w:r>
              <w:rPr>
                <w:rFonts w:ascii="Open Sans" w:hAnsi="Open Sans"/>
                <w:sz w:val="20"/>
              </w:rPr>
              <w:t>Group Mediclaim / Group Personal Accident premium</w:t>
            </w:r>
          </w:p>
        </w:tc>
        <w:tc>
          <w:tcPr>
            <w:tcW w:type="dxa" w:w="1958"/>
          </w:tcPr>
          <w:p/>
        </w:tc>
        <w:tc>
          <w:tcPr>
            <w:tcW w:type="dxa" w:w="1958"/>
          </w:tcPr>
          <w:p/>
        </w:tc>
        <w:tc>
          <w:tcPr>
            <w:tcW w:type="dxa" w:w="1958"/>
          </w:tcPr>
          <w:p>
            <w:r>
              <w:rPr>
                <w:rFonts w:ascii="Open Sans" w:hAnsi="Open Sans"/>
                <w:sz w:val="20"/>
              </w:rPr>
              <w:t>As per Company policy</w:t>
            </w:r>
          </w:p>
        </w:tc>
      </w:tr>
      <w:tr>
        <w:tc>
          <w:tcPr>
            <w:tcW w:type="dxa" w:w="1958"/>
          </w:tcPr>
          <w:p>
            <w:r>
              <w:rPr>
                <w:rFonts w:ascii="Open Sans" w:hAnsi="Open Sans"/>
                <w:sz w:val="20"/>
              </w:rPr>
              <w:t>K</w:t>
            </w:r>
          </w:p>
        </w:tc>
        <w:tc>
          <w:tcPr>
            <w:tcW w:type="dxa" w:w="1958"/>
          </w:tcPr>
          <w:p>
            <w:r>
              <w:rPr>
                <w:rFonts w:ascii="Open Sans" w:hAnsi="Open Sans"/>
                <w:sz w:val="20"/>
              </w:rPr>
              <w:t>Performance / Variable Bonus (at risk)</w:t>
            </w:r>
          </w:p>
        </w:tc>
        <w:tc>
          <w:tcPr>
            <w:tcW w:type="dxa" w:w="1958"/>
          </w:tcPr>
          <w:p/>
        </w:tc>
        <w:tc>
          <w:tcPr>
            <w:tcW w:type="dxa" w:w="1958"/>
          </w:tcPr>
          <w:p/>
        </w:tc>
        <w:tc>
          <w:tcPr>
            <w:tcW w:type="dxa" w:w="1958"/>
          </w:tcPr>
          <w:p>
            <w:r>
              <w:rPr>
                <w:rFonts w:ascii="Open Sans" w:hAnsi="Open Sans"/>
                <w:sz w:val="20"/>
              </w:rPr>
              <w:t>As per performance policy; not guaranteed</w:t>
            </w:r>
          </w:p>
        </w:tc>
      </w:tr>
      <w:tr>
        <w:tc>
          <w:tcPr>
            <w:tcW w:type="dxa" w:w="1958"/>
          </w:tcPr>
          <w:p>
            <w:r>
              <w:rPr>
                <w:rFonts w:ascii="Open Sans" w:hAnsi="Open Sans"/>
                <w:sz w:val="20"/>
              </w:rPr>
              <w:t>L</w:t>
            </w:r>
          </w:p>
        </w:tc>
        <w:tc>
          <w:tcPr>
            <w:tcW w:type="dxa" w:w="1958"/>
          </w:tcPr>
          <w:p>
            <w:r>
              <w:rPr>
                <w:rFonts w:ascii="Open Sans" w:hAnsi="Open Sans"/>
                <w:sz w:val="20"/>
              </w:rPr>
              <w:t>Statutory Bonus (Payment of Bonus Act, 1965)</w:t>
            </w:r>
          </w:p>
        </w:tc>
        <w:tc>
          <w:tcPr>
            <w:tcW w:type="dxa" w:w="1958"/>
          </w:tcPr>
          <w:p/>
        </w:tc>
        <w:tc>
          <w:tcPr>
            <w:tcW w:type="dxa" w:w="1958"/>
          </w:tcPr>
          <w:p/>
        </w:tc>
        <w:tc>
          <w:tcPr>
            <w:tcW w:type="dxa" w:w="1958"/>
          </w:tcPr>
          <w:p>
            <w:r>
              <w:rPr>
                <w:rFonts w:ascii="Open Sans" w:hAnsi="Open Sans"/>
                <w:sz w:val="20"/>
              </w:rPr>
              <w:t>Applicable if Basic ≤ INR 21,000/month (Note 4)</w:t>
            </w:r>
          </w:p>
        </w:tc>
      </w:tr>
      <w:tr>
        <w:tc>
          <w:tcPr>
            <w:tcW w:type="dxa" w:w="1958"/>
          </w:tcPr>
          <w:p/>
        </w:tc>
        <w:tc>
          <w:tcPr>
            <w:tcW w:type="dxa" w:w="1958"/>
          </w:tcPr>
          <w:p>
            <w:r>
              <w:rPr>
                <w:rFonts w:ascii="Open Sans" w:hAnsi="Open Sans"/>
                <w:b/>
                <w:sz w:val="20"/>
              </w:rPr>
              <w:t>Total Annual Cost to Company (CTC)</w:t>
            </w:r>
          </w:p>
        </w:tc>
        <w:tc>
          <w:tcPr>
            <w:tcW w:type="dxa" w:w="1958"/>
          </w:tcPr>
          <w:p/>
        </w:tc>
        <w:tc>
          <w:tcPr>
            <w:tcW w:type="dxa" w:w="1958"/>
          </w:tcPr>
          <w:p/>
        </w:tc>
        <w:tc>
          <w:tcPr>
            <w:tcW w:type="dxa" w:w="1958"/>
          </w:tcPr>
          <w:p/>
        </w:tc>
      </w:tr>
    </w:tbl>
    <w:p>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2. Statutory Employee Deductions (from Gross Pay)</w:t>
      </w:r>
      <w:r>
        <w:rPr>
          <w:rFonts w:ascii="Open Sans" w:hAnsi="Open Sans" w:cs="Open Sans"/>
          <w:b/>
          <w:color w:val="1A1A2E"/>
          <w:sz w:val="28"/>
        </w:rPr>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rPr>
                <w:rFonts w:ascii="Open Sans" w:hAnsi="Open Sans"/>
                <w:b/>
                <w:sz w:val="20"/>
              </w:rPr>
              <w:t>#</w:t>
            </w:r>
          </w:p>
        </w:tc>
        <w:tc>
          <w:tcPr>
            <w:tcW w:type="dxa" w:w="1958"/>
          </w:tcPr>
          <w:p>
            <w:r>
              <w:rPr>
                <w:rFonts w:ascii="Open Sans" w:hAnsi="Open Sans"/>
                <w:b/>
                <w:sz w:val="20"/>
              </w:rPr>
              <w:t>Item</w:t>
            </w:r>
          </w:p>
        </w:tc>
        <w:tc>
          <w:tcPr>
            <w:tcW w:type="dxa" w:w="1958"/>
          </w:tcPr>
          <w:p>
            <w:r>
              <w:rPr>
                <w:rFonts w:ascii="Open Sans" w:hAnsi="Open Sans"/>
                <w:b/>
                <w:sz w:val="20"/>
              </w:rPr>
              <w:t>Monthly (INR)</w:t>
            </w:r>
          </w:p>
        </w:tc>
        <w:tc>
          <w:tcPr>
            <w:tcW w:type="dxa" w:w="1958"/>
          </w:tcPr>
          <w:p>
            <w:r>
              <w:rPr>
                <w:rFonts w:ascii="Open Sans" w:hAnsi="Open Sans"/>
                <w:b/>
                <w:sz w:val="20"/>
              </w:rPr>
              <w:t>Annual (INR)</w:t>
            </w:r>
          </w:p>
        </w:tc>
        <w:tc>
          <w:tcPr>
            <w:tcW w:type="dxa" w:w="1958"/>
          </w:tcPr>
          <w:p>
            <w:r>
              <w:rPr>
                <w:rFonts w:ascii="Open Sans" w:hAnsi="Open Sans"/>
                <w:b/>
                <w:sz w:val="20"/>
              </w:rPr>
              <w:t>Authority</w:t>
            </w:r>
          </w:p>
        </w:tc>
      </w:tr>
      <w:tr>
        <w:tc>
          <w:tcPr>
            <w:tcW w:type="dxa" w:w="1958"/>
          </w:tcPr>
          <w:p>
            <w:r>
              <w:rPr>
                <w:rFonts w:ascii="Open Sans" w:hAnsi="Open Sans"/>
                <w:sz w:val="20"/>
              </w:rPr>
              <w:t>1</w:t>
            </w:r>
          </w:p>
        </w:tc>
        <w:tc>
          <w:tcPr>
            <w:tcW w:type="dxa" w:w="1958"/>
          </w:tcPr>
          <w:p>
            <w:r>
              <w:rPr>
                <w:rFonts w:ascii="Open Sans" w:hAnsi="Open Sans"/>
                <w:sz w:val="20"/>
              </w:rPr>
              <w:t>Employee Provident Fund</w:t>
            </w:r>
          </w:p>
        </w:tc>
        <w:tc>
          <w:tcPr>
            <w:tcW w:type="dxa" w:w="1958"/>
          </w:tcPr>
          <w:p/>
        </w:tc>
        <w:tc>
          <w:tcPr>
            <w:tcW w:type="dxa" w:w="1958"/>
          </w:tcPr>
          <w:p/>
        </w:tc>
        <w:tc>
          <w:tcPr>
            <w:tcW w:type="dxa" w:w="1958"/>
          </w:tcPr>
          <w:p>
            <w:r>
              <w:rPr>
                <w:rFonts w:ascii="Open Sans" w:hAnsi="Open Sans"/>
                <w:sz w:val="20"/>
              </w:rPr>
              <w:t>12% of Basic; EPF &amp; MP Act, 1952</w:t>
            </w:r>
          </w:p>
        </w:tc>
      </w:tr>
      <w:tr>
        <w:tc>
          <w:tcPr>
            <w:tcW w:type="dxa" w:w="1958"/>
          </w:tcPr>
          <w:p>
            <w:r>
              <w:rPr>
                <w:rFonts w:ascii="Open Sans" w:hAnsi="Open Sans"/>
                <w:sz w:val="20"/>
              </w:rPr>
              <w:t>2</w:t>
            </w:r>
          </w:p>
        </w:tc>
        <w:tc>
          <w:tcPr>
            <w:tcW w:type="dxa" w:w="1958"/>
          </w:tcPr>
          <w:p>
            <w:r>
              <w:rPr>
                <w:rFonts w:ascii="Open Sans" w:hAnsi="Open Sans"/>
                <w:sz w:val="20"/>
              </w:rPr>
              <w:t>Employee ESI (if wages ≤ INR 21,000/month)</w:t>
            </w:r>
          </w:p>
        </w:tc>
        <w:tc>
          <w:tcPr>
            <w:tcW w:type="dxa" w:w="1958"/>
          </w:tcPr>
          <w:p/>
        </w:tc>
        <w:tc>
          <w:tcPr>
            <w:tcW w:type="dxa" w:w="1958"/>
          </w:tcPr>
          <w:p/>
        </w:tc>
        <w:tc>
          <w:tcPr>
            <w:tcW w:type="dxa" w:w="1958"/>
          </w:tcPr>
          <w:p>
            <w:r>
              <w:rPr>
                <w:rFonts w:ascii="Open Sans" w:hAnsi="Open Sans"/>
                <w:sz w:val="20"/>
              </w:rPr>
              <w:t>0.75% of wages; ESI Act, 1948</w:t>
            </w:r>
          </w:p>
        </w:tc>
      </w:tr>
      <w:tr>
        <w:tc>
          <w:tcPr>
            <w:tcW w:type="dxa" w:w="1958"/>
          </w:tcPr>
          <w:p>
            <w:r>
              <w:rPr>
                <w:rFonts w:ascii="Open Sans" w:hAnsi="Open Sans"/>
                <w:sz w:val="20"/>
              </w:rPr>
              <w:t>3</w:t>
            </w:r>
          </w:p>
        </w:tc>
        <w:tc>
          <w:tcPr>
            <w:tcW w:type="dxa" w:w="1958"/>
          </w:tcPr>
          <w:p>
            <w:r>
              <w:rPr>
                <w:rFonts w:ascii="Open Sans" w:hAnsi="Open Sans"/>
                <w:sz w:val="20"/>
              </w:rPr>
              <w:t>Professional Tax (Haryana)</w:t>
            </w:r>
          </w:p>
        </w:tc>
        <w:tc>
          <w:tcPr>
            <w:tcW w:type="dxa" w:w="1958"/>
          </w:tcPr>
          <w:p/>
        </w:tc>
        <w:tc>
          <w:tcPr>
            <w:tcW w:type="dxa" w:w="1958"/>
          </w:tcPr>
          <w:p/>
        </w:tc>
        <w:tc>
          <w:tcPr>
            <w:tcW w:type="dxa" w:w="1958"/>
          </w:tcPr>
          <w:p>
            <w:r>
              <w:rPr>
                <w:rFonts w:ascii="Open Sans" w:hAnsi="Open Sans"/>
                <w:sz w:val="20"/>
              </w:rPr>
              <w:t>State P-Tax rules (Note 5)</w:t>
            </w:r>
          </w:p>
        </w:tc>
      </w:tr>
      <w:tr>
        <w:tc>
          <w:tcPr>
            <w:tcW w:type="dxa" w:w="1958"/>
          </w:tcPr>
          <w:p>
            <w:r>
              <w:rPr>
                <w:rFonts w:ascii="Open Sans" w:hAnsi="Open Sans"/>
                <w:sz w:val="20"/>
              </w:rPr>
              <w:t>4</w:t>
            </w:r>
          </w:p>
        </w:tc>
        <w:tc>
          <w:tcPr>
            <w:tcW w:type="dxa" w:w="1958"/>
          </w:tcPr>
          <w:p>
            <w:r>
              <w:rPr>
                <w:rFonts w:ascii="Open Sans" w:hAnsi="Open Sans"/>
                <w:sz w:val="20"/>
              </w:rPr>
              <w:t>Labour Welfare Fund contribution</w:t>
            </w:r>
          </w:p>
        </w:tc>
        <w:tc>
          <w:tcPr>
            <w:tcW w:type="dxa" w:w="1958"/>
          </w:tcPr>
          <w:p/>
        </w:tc>
        <w:tc>
          <w:tcPr>
            <w:tcW w:type="dxa" w:w="1958"/>
          </w:tcPr>
          <w:p/>
        </w:tc>
        <w:tc>
          <w:tcPr>
            <w:tcW w:type="dxa" w:w="1958"/>
          </w:tcPr>
          <w:p>
            <w:r>
              <w:rPr>
                <w:rFonts w:ascii="Open Sans" w:hAnsi="Open Sans"/>
                <w:sz w:val="20"/>
              </w:rPr>
              <w:t>Haryana Labour Welfare Fund Act, 1965 (Note 6)</w:t>
            </w:r>
          </w:p>
        </w:tc>
      </w:tr>
      <w:tr>
        <w:tc>
          <w:tcPr>
            <w:tcW w:type="dxa" w:w="1958"/>
          </w:tcPr>
          <w:p>
            <w:r>
              <w:rPr>
                <w:rFonts w:ascii="Open Sans" w:hAnsi="Open Sans"/>
                <w:sz w:val="20"/>
              </w:rPr>
              <w:t>5</w:t>
            </w:r>
          </w:p>
        </w:tc>
        <w:tc>
          <w:tcPr>
            <w:tcW w:type="dxa" w:w="1958"/>
          </w:tcPr>
          <w:p>
            <w:r>
              <w:rPr>
                <w:rFonts w:ascii="Open Sans" w:hAnsi="Open Sans"/>
                <w:sz w:val="20"/>
              </w:rPr>
              <w:t>Tax Deducted at Source (TDS)</w:t>
            </w:r>
          </w:p>
        </w:tc>
        <w:tc>
          <w:tcPr>
            <w:tcW w:type="dxa" w:w="1958"/>
          </w:tcPr>
          <w:p/>
        </w:tc>
        <w:tc>
          <w:tcPr>
            <w:tcW w:type="dxa" w:w="1958"/>
          </w:tcPr>
          <w:p/>
        </w:tc>
        <w:tc>
          <w:tcPr>
            <w:tcW w:type="dxa" w:w="1958"/>
          </w:tcPr>
          <w:p>
            <w:r>
              <w:rPr>
                <w:rFonts w:ascii="Open Sans" w:hAnsi="Open Sans"/>
                <w:sz w:val="20"/>
              </w:rPr>
              <w:t>Income-tax Act, 1961 — as per Form 12BB / declared regime</w:t>
            </w:r>
          </w:p>
        </w:tc>
      </w:tr>
    </w:tbl>
    <w:p>
      <w:r>
        <w:rPr>
          <w:rFonts w:ascii="Open Sans" w:hAnsi="Open Sans" w:cs="Open Sans"/>
          <w:color w:val="59595B"/>
        </w:rPr>
      </w:r>
    </w:p>
    <w:p>
      <w:r>
        <w:rPr>
          <w:rFonts w:ascii="Open Sans" w:hAnsi="Open Sans" w:cs="Open Sans"/>
          <w:color w:val="59595B"/>
        </w:rPr>
      </w:r>
      <w:r>
        <w:rPr>
          <w:rFonts w:ascii="Open Sans" w:hAnsi="Open Sans" w:cs="Open Sans"/>
          <w:b/>
          <w:color w:val="59595B"/>
        </w:rPr>
        <w:t>Estimated Net Take-Home (monthly):</w:t>
      </w:r>
      <w:r>
        <w:rPr>
          <w:rFonts w:ascii="Open Sans" w:hAnsi="Open Sans" w:cs="Open Sans"/>
          <w:color w:val="59595B"/>
        </w:rPr>
        <w:t xml:space="preserve"> INR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3. Statutory and Policy Notes</w:t>
      </w:r>
      <w:r>
        <w:rPr>
          <w:rFonts w:ascii="Open Sans" w:hAnsi="Open Sans" w:cs="Open Sans"/>
          <w:b/>
          <w:color w:val="1A1A2E"/>
          <w:sz w:val="28"/>
        </w:rPr>
      </w:r>
      <w:r>
        <w:rPr>
          <w:rFonts w:ascii="Open Sans" w:hAnsi="Open Sans" w:cs="Open Sans"/>
          <w:b/>
          <w:color w:val="1A1A2E"/>
          <w:sz w:val="28"/>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Employer PF (EPF &amp; MP Act, 1952):</w:t>
      </w:r>
      <w:r>
        <w:rPr>
          <w:rFonts w:ascii="Open Sans" w:hAnsi="Open Sans" w:cs="Open Sans"/>
          <w:color w:val="59595B"/>
        </w:rPr>
        <w:t xml:space="preserve"> Employer contributes 12% of Basic Salary. Statutory wage ceiling under the Act is INR 15,000/month; above this ceiling, employer contribution may be restricted to INR 1,800/month unless the Company voluntarily extends contribution on actual Basic, as permitted by the scheme. The chosen approach for this employee is: [ ] statutory ceiling / [ ] voluntary on actual Basic.</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ESI (ESI Act, 1948):</w:t>
      </w:r>
      <w:r>
        <w:rPr>
          <w:rFonts w:ascii="Open Sans" w:hAnsi="Open Sans" w:cs="Open Sans"/>
          <w:color w:val="59595B"/>
        </w:rPr>
        <w:t xml:space="preserve"> Applicable only where gross wages are ≤ INR 21,000/month. Employer 3.25% and Employee 0.75%. On ceasing to be ESI-eligible, the employee is migrated to Group Mediclaim (Component J).</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Gratuity (Payment of Gratuity Act, 1972):</w:t>
      </w:r>
      <w:r>
        <w:rPr>
          <w:rFonts w:ascii="Open Sans" w:hAnsi="Open Sans" w:cs="Open Sans"/>
          <w:color w:val="59595B"/>
        </w:rPr>
        <w:t xml:space="preserve"> Provisioned at approximately 4.81% of Basic Salary as part of CTC. Actual payment arises only on completion of five (5) years of continuous service, or earlier on death or disablement as provided in the Act. Gratuity is not payable as part of monthly salary.</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Statutory Bonus (Payment of Bonus Act, 1965):</w:t>
      </w:r>
      <w:r>
        <w:rPr>
          <w:rFonts w:ascii="Open Sans" w:hAnsi="Open Sans" w:cs="Open Sans"/>
          <w:color w:val="59595B"/>
        </w:rPr>
        <w:t xml:space="preserve"> Payable to employees whose Basic wages are ≤ INR 21,000/month, at a minimum of 8.33% and maximum of 20% of Basic wages, subject to the Act. Above the threshold, any bonus is discretionary/performance-linked.</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Professional Tax — Haryana:</w:t>
      </w:r>
      <w:r>
        <w:rPr>
          <w:rFonts w:ascii="Open Sans" w:hAnsi="Open Sans" w:cs="Open Sans"/>
          <w:color w:val="59595B"/>
        </w:rPr>
        <w:t xml:space="preserve"> As on date, Haryana has </w:t>
      </w:r>
      <w:r>
        <w:rPr>
          <w:rFonts w:ascii="Open Sans" w:hAnsi="Open Sans" w:cs="Open Sans"/>
          <w:b/>
          <w:color w:val="59595B"/>
        </w:rPr>
        <w:t>not</w:t>
      </w:r>
      <w:r>
        <w:rPr>
          <w:rFonts w:ascii="Open Sans" w:hAnsi="Open Sans" w:cs="Open Sans"/>
          <w:color w:val="59595B"/>
        </w:rPr>
        <w:t xml:space="preserve"> notified a State Professional Tax; the field is retained for future applicability. Employees working in other States (e.g., Maharashtra, Karnataka, West Bengal) will be subject to the P-Tax of the relevant State.</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Haryana Labour Welfare Fund Act, 1965:</w:t>
      </w:r>
      <w:r>
        <w:rPr>
          <w:rFonts w:ascii="Open Sans" w:hAnsi="Open Sans" w:cs="Open Sans"/>
          <w:color w:val="59595B"/>
        </w:rPr>
        <w:t xml:space="preserve"> Nominal employee and employer contribution as notified by the Government of Haryana from time to time.</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Code on Wages, 2019 and Code on Social Security, 2020:</w:t>
      </w:r>
      <w:r>
        <w:rPr>
          <w:rFonts w:ascii="Open Sans" w:hAnsi="Open Sans" w:cs="Open Sans"/>
          <w:color w:val="59595B"/>
        </w:rPr>
        <w:t xml:space="preserve"> Upon notification and enforcement of these Codes, the salary structure, statutory deductions and bonus computation will be re-aligned to comply. Company reserves the right to restructure CTC components to remain compliant without reducing total CTC.</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Payment of Wages Act, 1936:</w:t>
      </w:r>
      <w:r>
        <w:rPr>
          <w:rFonts w:ascii="Open Sans" w:hAnsi="Open Sans" w:cs="Open Sans"/>
          <w:color w:val="59595B"/>
        </w:rPr>
        <w:t xml:space="preserve"> Salary is paid by the end of each wage period, by electronic bank transfer into the employee's designated account.</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Restructuring:</w:t>
      </w:r>
      <w:r>
        <w:rPr>
          <w:rFonts w:ascii="Open Sans" w:hAnsi="Open Sans" w:cs="Open Sans"/>
          <w:color w:val="59595B"/>
        </w:rPr>
        <w:t xml:space="preserve"> The Company may, with reasonable notice, restructure the break-up of components (Basic, HRA, allowances, etc.) for tax or regulatory reasons, without reducing total CTC.</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Reimbursements:</w:t>
      </w:r>
      <w:r>
        <w:rPr>
          <w:rFonts w:ascii="Open Sans" w:hAnsi="Open Sans" w:cs="Open Sans"/>
          <w:color w:val="59595B"/>
        </w:rPr>
        <w:t xml:space="preserve"> Any amounts shown under mobile/internet/fuel/books are reimbursements against bills, governed by the Reimbursement Policy, and are </w:t>
      </w:r>
      <w:r>
        <w:rPr>
          <w:rFonts w:ascii="Open Sans" w:hAnsi="Open Sans" w:cs="Open Sans"/>
          <w:b/>
          <w:color w:val="59595B"/>
        </w:rPr>
        <w:t>not</w:t>
      </w:r>
      <w:r>
        <w:rPr>
          <w:rFonts w:ascii="Open Sans" w:hAnsi="Open Sans" w:cs="Open Sans"/>
          <w:color w:val="59595B"/>
        </w:rPr>
        <w:t xml:space="preserve"> part of fixed CTC.</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Acknowledged by Employee: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color w:val="59595B"/>
        </w:rPr>
        <w:t xml:space="preserve">_ Name: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 xml:space="preserve">_ Date: </w:t>
      </w:r>
      <w:r>
        <w:rPr>
          <w:rFonts w:ascii="Open Sans" w:hAnsi="Open Sans" w:cs="Open Sans"/>
          <w:b/>
          <w:i/>
          <w:color w:val="59595B"/>
        </w:rPr>
        <w:t>_</w:t>
      </w:r>
      <w:r>
        <w:rPr>
          <w:rFonts w:ascii="Open Sans" w:hAnsi="Open Sans" w:cs="Open Sans"/>
          <w:color w:val="59595B"/>
        </w:rPr>
        <w:t>__</w:t>
      </w:r>
      <w:r>
        <w:rPr>
          <w:rFonts w:ascii="Open Sans" w:hAnsi="Open Sans" w:cs="Open Sans"/>
          <w:color w:val="59595B"/>
        </w:rPr>
      </w:r>
    </w:p>
    <w:p>
      <w:r>
        <w:rPr>
          <w:rFonts w:ascii="Open Sans" w:hAnsi="Open Sans" w:cs="Open Sans"/>
          <w:color w:val="59595B"/>
        </w:rPr>
      </w:r>
      <w:r>
        <w:rPr>
          <w:rFonts w:ascii="Open Sans" w:hAnsi="Open Sans" w:cs="Open Sans"/>
          <w:b/>
          <w:color w:val="59595B"/>
        </w:rPr>
        <w:t>For Technijian IT Services Pvt. Ltd.: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b/>
          <w:color w:val="59595B"/>
        </w:rPr>
        <w:t xml:space="preserve">_ Name: Ravi Jain, Director Date: </w:t>
      </w:r>
      <w:r>
        <w:rPr>
          <w:rFonts w:ascii="Open Sans" w:hAnsi="Open Sans" w:cs="Open Sans"/>
          <w:b/>
          <w:i/>
          <w:color w:val="59595B"/>
        </w:rPr>
        <w:t>_</w:t>
      </w:r>
      <w:r>
        <w:rPr>
          <w:rFonts w:ascii="Open Sans" w:hAnsi="Open Sans" w:cs="Open Sans"/>
          <w:color w:val="59595B"/>
        </w:rPr>
        <w:t>___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