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Open Sans" w:hAnsi="Open Sans" w:cs="Open Sans"/>
          <w:b/>
          <w:color w:val="006DB6"/>
          <w:sz w:val="36"/>
        </w:rPr>
        <w:t>Salary Increment Letter</w:t>
      </w:r>
      <w:r>
        <w:rPr>
          <w:rFonts w:ascii="Open Sans" w:hAnsi="Open Sans" w:cs="Open Sans"/>
          <w:b/>
          <w:color w:val="006DB6"/>
          <w:sz w:val="36"/>
        </w:rPr>
      </w:r>
    </w:p>
    <w:p>
      <w:r>
        <w:rPr>
          <w:rFonts w:ascii="Open Sans" w:hAnsi="Open Sans" w:cs="Open Sans"/>
          <w:color w:val="59595B"/>
        </w:rPr>
      </w:r>
      <w:r>
        <w:rPr>
          <w:rFonts w:ascii="Open Sans" w:hAnsi="Open Sans" w:cs="Open Sans"/>
          <w:b/>
          <w:color w:val="59595B"/>
        </w:rPr>
        <w:t>Date:</w:t>
      </w:r>
      <w:r>
        <w:rPr>
          <w:rFonts w:ascii="Open Sans" w:hAnsi="Open Sans" w:cs="Open Sans"/>
          <w:color w:val="59595B"/>
        </w:rPr>
        <w:t xml:space="preserve"> </w:t>
      </w:r>
      <w:r>
        <w:rPr>
          <w:rFonts w:ascii="Open Sans" w:hAnsi="Open Sans" w:cs="Open Sans"/>
          <w:b/>
          <w:i/>
          <w:color w:val="59595B"/>
        </w:rPr>
        <w:t>_</w:t>
        <w:br/>
      </w:r>
      <w:r>
        <w:rPr>
          <w:rFonts w:ascii="Open Sans" w:hAnsi="Open Sans" w:cs="Open Sans"/>
          <w:b/>
          <w:i/>
          <w:color w:val="59595B"/>
        </w:rPr>
      </w:r>
      <w:r>
        <w:rPr>
          <w:rFonts w:ascii="Open Sans" w:hAnsi="Open Sans" w:cs="Open Sans"/>
          <w:b/>
          <w:i/>
          <w:color w:val="59595B"/>
        </w:rPr>
        <w:t>Ref:</w:t>
      </w:r>
      <w:r>
        <w:rPr>
          <w:rFonts w:ascii="Open Sans" w:hAnsi="Open Sans" w:cs="Open Sans"/>
          <w:i/>
          <w:color w:val="59595B"/>
        </w:rPr>
        <w:t xml:space="preserve"> TIJ/HR/INC/</w:t>
      </w:r>
      <w:r>
        <w:rPr>
          <w:rFonts w:ascii="Open Sans" w:hAnsi="Open Sans" w:cs="Open Sans"/>
          <w:color w:val="59595B"/>
        </w:rPr>
        <w:t>_/____</w:t>
      </w:r>
      <w:r>
        <w:rPr>
          <w:rFonts w:ascii="Open Sans" w:hAnsi="Open Sans" w:cs="Open Sans"/>
          <w:color w:val="59595B"/>
        </w:rPr>
      </w:r>
    </w:p>
    <w:p>
      <w:r>
        <w:rPr>
          <w:rFonts w:ascii="Open Sans" w:hAnsi="Open Sans" w:cs="Open Sans"/>
          <w:color w:val="59595B"/>
        </w:rPr>
      </w:r>
      <w:r>
        <w:rPr>
          <w:rFonts w:ascii="Open Sans" w:hAnsi="Open Sans" w:cs="Open Sans"/>
          <w:b/>
          <w:color w:val="59595B"/>
        </w:rPr>
        <w:t>To:</w:t>
        <w:br/>
      </w:r>
      <w:r>
        <w:rPr>
          <w:rFonts w:ascii="Open Sans" w:hAnsi="Open Sans" w:cs="Open Sans"/>
          <w:color w:val="59595B"/>
        </w:rPr>
        <w:t>&lt;Employee Name&gt;</w:t>
        <w:br/>
      </w:r>
      <w:r>
        <w:rPr>
          <w:rFonts w:ascii="Open Sans" w:hAnsi="Open Sans" w:cs="Open Sans"/>
          <w:color w:val="59595B"/>
        </w:rPr>
        <w:t>&lt;Emp ID&gt;</w:t>
        <w:br/>
      </w:r>
      <w:r>
        <w:rPr>
          <w:rFonts w:ascii="Open Sans" w:hAnsi="Open Sans" w:cs="Open Sans"/>
          <w:color w:val="59595B"/>
        </w:rPr>
        <w:t>&lt;Designation&gt;</w:t>
      </w:r>
      <w:r>
        <w:rPr>
          <w:rFonts w:ascii="Open Sans" w:hAnsi="Open Sans" w:cs="Open Sans"/>
          <w:color w:val="59595B"/>
        </w:rPr>
      </w:r>
    </w:p>
    <w:p>
      <w:r>
        <w:rPr>
          <w:rFonts w:ascii="Open Sans" w:hAnsi="Open Sans" w:cs="Open Sans"/>
          <w:color w:val="59595B"/>
        </w:rPr>
      </w:r>
      <w:r>
        <w:rPr>
          <w:rFonts w:ascii="Open Sans" w:hAnsi="Open Sans" w:cs="Open Sans"/>
          <w:color w:val="59595B"/>
        </w:rPr>
        <w:t>Dear &lt;Employee Name&gt;,</w:t>
      </w:r>
      <w:r>
        <w:rPr>
          <w:rFonts w:ascii="Open Sans" w:hAnsi="Open Sans" w:cs="Open Sans"/>
          <w:color w:val="59595B"/>
        </w:rPr>
      </w:r>
    </w:p>
    <w:p>
      <w:pPr>
        <w:pStyle w:val="Heading2"/>
      </w:pPr>
      <w:r>
        <w:rPr>
          <w:rFonts w:ascii="Open Sans" w:hAnsi="Open Sans" w:cs="Open Sans"/>
          <w:b/>
          <w:color w:val="1A1A2E"/>
          <w:sz w:val="28"/>
        </w:rPr>
        <w:t>1. Annual Performance and Compensation Review</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1.01 Technijian IT Services Pvt. Ltd. (the "</w:t>
      </w:r>
      <w:r>
        <w:rPr>
          <w:rFonts w:ascii="Open Sans" w:hAnsi="Open Sans" w:cs="Open Sans"/>
          <w:b/>
          <w:color w:val="59595B"/>
        </w:rPr>
        <w:t>Company</w:t>
      </w:r>
      <w:r>
        <w:rPr>
          <w:rFonts w:ascii="Open Sans" w:hAnsi="Open Sans" w:cs="Open Sans"/>
          <w:color w:val="59595B"/>
        </w:rPr>
        <w:t>") has completed its annual performance review for the Financial Year &lt;FY, e.g., 2025-26&gt;.</w:t>
      </w:r>
      <w:r>
        <w:rPr>
          <w:rFonts w:ascii="Open Sans" w:hAnsi="Open Sans" w:cs="Open Sans"/>
          <w:color w:val="59595B"/>
        </w:rPr>
      </w:r>
    </w:p>
    <w:p>
      <w:r>
        <w:rPr>
          <w:rFonts w:ascii="Open Sans" w:hAnsi="Open Sans" w:cs="Open Sans"/>
          <w:color w:val="59595B"/>
        </w:rPr>
      </w:r>
      <w:r>
        <w:rPr>
          <w:rFonts w:ascii="Open Sans" w:hAnsi="Open Sans" w:cs="Open Sans"/>
          <w:color w:val="59595B"/>
        </w:rPr>
        <w:t>1.02 Based on your performance during the review period from &lt;start date&gt; to &lt;end date&gt;, your performance rating, and the Company's compensation philosophy, we are pleased to revise your compensation as set out in this letter.</w:t>
      </w:r>
      <w:r>
        <w:rPr>
          <w:rFonts w:ascii="Open Sans" w:hAnsi="Open Sans" w:cs="Open Sans"/>
          <w:color w:val="59595B"/>
        </w:rPr>
      </w:r>
    </w:p>
    <w:p>
      <w:pPr>
        <w:pStyle w:val="Heading2"/>
      </w:pPr>
      <w:r>
        <w:rPr>
          <w:rFonts w:ascii="Open Sans" w:hAnsi="Open Sans" w:cs="Open Sans"/>
          <w:b/>
          <w:color w:val="1A1A2E"/>
          <w:sz w:val="28"/>
        </w:rPr>
        <w:t>2. Revised Compensation — Effective Date</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2.01 The revised compensation is effective from &lt;Effective Date&gt; (the "</w:t>
      </w:r>
      <w:r>
        <w:rPr>
          <w:rFonts w:ascii="Open Sans" w:hAnsi="Open Sans" w:cs="Open Sans"/>
          <w:b/>
          <w:color w:val="59595B"/>
        </w:rPr>
        <w:t>Effective Date</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color w:val="59595B"/>
        </w:rPr>
        <w:t>2.02 The arrears, if any, for the period between the Effective Date and the month of implementation shall be paid along with the payroll for &lt;implementation month&gt;.</w:t>
      </w:r>
      <w:r>
        <w:rPr>
          <w:rFonts w:ascii="Open Sans" w:hAnsi="Open Sans" w:cs="Open Sans"/>
          <w:color w:val="59595B"/>
        </w:rPr>
      </w:r>
    </w:p>
    <w:p>
      <w:pPr>
        <w:pStyle w:val="Heading2"/>
      </w:pPr>
      <w:r>
        <w:rPr>
          <w:rFonts w:ascii="Open Sans" w:hAnsi="Open Sans" w:cs="Open Sans"/>
          <w:b/>
          <w:color w:val="1A1A2E"/>
          <w:sz w:val="28"/>
        </w:rPr>
        <w:t>3. Revised CTC — Before and After</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3.01 Your Annual Cost to Company (CTC), before and after this revision, is as follows:</w:t>
      </w:r>
      <w:r>
        <w:rPr>
          <w:rFonts w:ascii="Open Sans" w:hAnsi="Open Sans" w:cs="Open Sans"/>
          <w:color w:val="59595B"/>
        </w:rPr>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1958"/>
          </w:tcPr>
          <w:p>
            <w:r>
              <w:rPr>
                <w:rFonts w:ascii="Open Sans" w:hAnsi="Open Sans"/>
                <w:b/>
                <w:sz w:val="20"/>
              </w:rPr>
              <w:t>#</w:t>
            </w:r>
          </w:p>
        </w:tc>
        <w:tc>
          <w:tcPr>
            <w:tcW w:type="dxa" w:w="1958"/>
          </w:tcPr>
          <w:p>
            <w:r>
              <w:rPr>
                <w:rFonts w:ascii="Open Sans" w:hAnsi="Open Sans"/>
                <w:b/>
                <w:sz w:val="20"/>
              </w:rPr>
              <w:t>Component</w:t>
            </w:r>
          </w:p>
        </w:tc>
        <w:tc>
          <w:tcPr>
            <w:tcW w:type="dxa" w:w="1958"/>
          </w:tcPr>
          <w:p>
            <w:r>
              <w:rPr>
                <w:rFonts w:ascii="Open Sans" w:hAnsi="Open Sans"/>
                <w:b/>
                <w:sz w:val="20"/>
              </w:rPr>
              <w:t>Previous Annual CTC (INR)</w:t>
            </w:r>
          </w:p>
        </w:tc>
        <w:tc>
          <w:tcPr>
            <w:tcW w:type="dxa" w:w="1958"/>
          </w:tcPr>
          <w:p>
            <w:r>
              <w:rPr>
                <w:rFonts w:ascii="Open Sans" w:hAnsi="Open Sans"/>
                <w:b/>
                <w:sz w:val="20"/>
              </w:rPr>
              <w:t>Revised Annual CTC (INR)</w:t>
            </w:r>
          </w:p>
        </w:tc>
        <w:tc>
          <w:tcPr>
            <w:tcW w:type="dxa" w:w="1958"/>
          </w:tcPr>
          <w:p>
            <w:r>
              <w:rPr>
                <w:rFonts w:ascii="Open Sans" w:hAnsi="Open Sans"/>
                <w:b/>
                <w:sz w:val="20"/>
              </w:rPr>
              <w:t>Change</w:t>
            </w:r>
          </w:p>
        </w:tc>
      </w:tr>
      <w:tr>
        <w:tc>
          <w:tcPr>
            <w:tcW w:type="dxa" w:w="1958"/>
          </w:tcPr>
          <w:p>
            <w:r>
              <w:rPr>
                <w:rFonts w:ascii="Open Sans" w:hAnsi="Open Sans"/>
                <w:sz w:val="20"/>
              </w:rPr>
              <w:t>A</w:t>
            </w:r>
          </w:p>
        </w:tc>
        <w:tc>
          <w:tcPr>
            <w:tcW w:type="dxa" w:w="1958"/>
          </w:tcPr>
          <w:p>
            <w:r>
              <w:rPr>
                <w:rFonts w:ascii="Open Sans" w:hAnsi="Open Sans"/>
                <w:sz w:val="20"/>
              </w:rPr>
              <w:t>Fixed Pay (Basic + HRA + Allowances)</w:t>
            </w:r>
          </w:p>
        </w:tc>
        <w:tc>
          <w:tcPr>
            <w:tcW w:type="dxa" w:w="1958"/>
          </w:tcPr>
          <w:p/>
        </w:tc>
        <w:tc>
          <w:tcPr>
            <w:tcW w:type="dxa" w:w="1958"/>
          </w:tcPr>
          <w:p/>
        </w:tc>
        <w:tc>
          <w:tcPr>
            <w:tcW w:type="dxa" w:w="1958"/>
          </w:tcPr>
          <w:p/>
        </w:tc>
      </w:tr>
      <w:tr>
        <w:tc>
          <w:tcPr>
            <w:tcW w:type="dxa" w:w="1958"/>
          </w:tcPr>
          <w:p>
            <w:r>
              <w:rPr>
                <w:rFonts w:ascii="Open Sans" w:hAnsi="Open Sans"/>
                <w:sz w:val="20"/>
              </w:rPr>
              <w:t>B</w:t>
            </w:r>
          </w:p>
        </w:tc>
        <w:tc>
          <w:tcPr>
            <w:tcW w:type="dxa" w:w="1958"/>
          </w:tcPr>
          <w:p>
            <w:r>
              <w:rPr>
                <w:rFonts w:ascii="Open Sans" w:hAnsi="Open Sans"/>
                <w:sz w:val="20"/>
              </w:rPr>
              <w:t>Employer Statutory (PF / ESI / Gratuity prov.)</w:t>
            </w:r>
          </w:p>
        </w:tc>
        <w:tc>
          <w:tcPr>
            <w:tcW w:type="dxa" w:w="1958"/>
          </w:tcPr>
          <w:p/>
        </w:tc>
        <w:tc>
          <w:tcPr>
            <w:tcW w:type="dxa" w:w="1958"/>
          </w:tcPr>
          <w:p/>
        </w:tc>
        <w:tc>
          <w:tcPr>
            <w:tcW w:type="dxa" w:w="1958"/>
          </w:tcPr>
          <w:p/>
        </w:tc>
      </w:tr>
      <w:tr>
        <w:tc>
          <w:tcPr>
            <w:tcW w:type="dxa" w:w="1958"/>
          </w:tcPr>
          <w:p>
            <w:r>
              <w:rPr>
                <w:rFonts w:ascii="Open Sans" w:hAnsi="Open Sans"/>
                <w:sz w:val="20"/>
              </w:rPr>
              <w:t>C</w:t>
            </w:r>
          </w:p>
        </w:tc>
        <w:tc>
          <w:tcPr>
            <w:tcW w:type="dxa" w:w="1958"/>
          </w:tcPr>
          <w:p>
            <w:r>
              <w:rPr>
                <w:rFonts w:ascii="Open Sans" w:hAnsi="Open Sans"/>
                <w:sz w:val="20"/>
              </w:rPr>
              <w:t>Group Mediclaim / GPA</w:t>
            </w:r>
          </w:p>
        </w:tc>
        <w:tc>
          <w:tcPr>
            <w:tcW w:type="dxa" w:w="1958"/>
          </w:tcPr>
          <w:p/>
        </w:tc>
        <w:tc>
          <w:tcPr>
            <w:tcW w:type="dxa" w:w="1958"/>
          </w:tcPr>
          <w:p/>
        </w:tc>
        <w:tc>
          <w:tcPr>
            <w:tcW w:type="dxa" w:w="1958"/>
          </w:tcPr>
          <w:p/>
        </w:tc>
      </w:tr>
      <w:tr>
        <w:tc>
          <w:tcPr>
            <w:tcW w:type="dxa" w:w="1958"/>
          </w:tcPr>
          <w:p>
            <w:r>
              <w:rPr>
                <w:rFonts w:ascii="Open Sans" w:hAnsi="Open Sans"/>
                <w:sz w:val="20"/>
              </w:rPr>
              <w:t>D</w:t>
            </w:r>
          </w:p>
        </w:tc>
        <w:tc>
          <w:tcPr>
            <w:tcW w:type="dxa" w:w="1958"/>
          </w:tcPr>
          <w:p>
            <w:r>
              <w:rPr>
                <w:rFonts w:ascii="Open Sans" w:hAnsi="Open Sans"/>
                <w:sz w:val="20"/>
              </w:rPr>
              <w:t>Variable / Performance Bonus (at risk)</w:t>
            </w:r>
          </w:p>
        </w:tc>
        <w:tc>
          <w:tcPr>
            <w:tcW w:type="dxa" w:w="1958"/>
          </w:tcPr>
          <w:p/>
        </w:tc>
        <w:tc>
          <w:tcPr>
            <w:tcW w:type="dxa" w:w="1958"/>
          </w:tcPr>
          <w:p/>
        </w:tc>
        <w:tc>
          <w:tcPr>
            <w:tcW w:type="dxa" w:w="1958"/>
          </w:tcPr>
          <w:p/>
        </w:tc>
      </w:tr>
      <w:tr>
        <w:tc>
          <w:tcPr>
            <w:tcW w:type="dxa" w:w="1958"/>
          </w:tcPr>
          <w:p/>
        </w:tc>
        <w:tc>
          <w:tcPr>
            <w:tcW w:type="dxa" w:w="1958"/>
          </w:tcPr>
          <w:p>
            <w:r>
              <w:rPr>
                <w:rFonts w:ascii="Open Sans" w:hAnsi="Open Sans"/>
                <w:b/>
                <w:sz w:val="20"/>
              </w:rPr>
              <w:t>Total Annual CTC</w:t>
            </w:r>
          </w:p>
        </w:tc>
        <w:tc>
          <w:tcPr>
            <w:tcW w:type="dxa" w:w="1958"/>
          </w:tcPr>
          <w:p/>
        </w:tc>
        <w:tc>
          <w:tcPr>
            <w:tcW w:type="dxa" w:w="1958"/>
          </w:tcPr>
          <w:p/>
        </w:tc>
        <w:tc>
          <w:tcPr>
            <w:tcW w:type="dxa" w:w="1958"/>
          </w:tcPr>
          <w:p/>
        </w:tc>
      </w:tr>
    </w:tbl>
    <w:p>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3.02 The increment translates to an effective increase of </w:t>
      </w:r>
      <w:r>
        <w:rPr>
          <w:rFonts w:ascii="Open Sans" w:hAnsi="Open Sans" w:cs="Open Sans"/>
          <w:b/>
          <w:color w:val="59595B"/>
        </w:rPr>
        <w:t>___%</w:t>
      </w:r>
      <w:r>
        <w:rPr>
          <w:rFonts w:ascii="Open Sans" w:hAnsi="Open Sans" w:cs="Open Sans"/>
          <w:color w:val="59595B"/>
        </w:rPr>
        <w:t xml:space="preserve"> over your previous Annual CTC.</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3.03 The component-wise revised breakup of CTC, and the resulting statutory deductions (EPF &amp; MP Act, 1952; ESI Act, 1948 where applicable; Professional Tax; TDS under the Income-tax Act, 1961), are set out at </w:t>
      </w:r>
      <w:r>
        <w:rPr>
          <w:rFonts w:ascii="Open Sans" w:hAnsi="Open Sans" w:cs="Open Sans"/>
          <w:b/>
          <w:color w:val="59595B"/>
        </w:rPr>
        <w:t>Annexure A</w:t>
      </w:r>
      <w:r>
        <w:rPr>
          <w:rFonts w:ascii="Open Sans" w:hAnsi="Open Sans" w:cs="Open Sans"/>
          <w:color w:val="59595B"/>
        </w:rPr>
        <w:t xml:space="preserve"> attached and forming part of this letter.</w:t>
      </w:r>
      <w:r>
        <w:rPr>
          <w:rFonts w:ascii="Open Sans" w:hAnsi="Open Sans" w:cs="Open Sans"/>
          <w:color w:val="59595B"/>
        </w:rPr>
      </w:r>
    </w:p>
    <w:p>
      <w:pPr>
        <w:pStyle w:val="Heading2"/>
      </w:pPr>
      <w:r>
        <w:rPr>
          <w:rFonts w:ascii="Open Sans" w:hAnsi="Open Sans" w:cs="Open Sans"/>
          <w:b/>
          <w:color w:val="1A1A2E"/>
          <w:sz w:val="28"/>
        </w:rPr>
        <w:t>4. Variable / Performance Component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4.01 The variable / performance bonus shown at Row D is "at risk" and is payable as per the Company's variable pay plan, subject to achievement of individual and Company performance objectives. It does not form part of fixed pay and is not guaranteed.</w:t>
      </w:r>
      <w:r>
        <w:rPr>
          <w:rFonts w:ascii="Open Sans" w:hAnsi="Open Sans" w:cs="Open Sans"/>
          <w:color w:val="59595B"/>
        </w:rPr>
      </w:r>
    </w:p>
    <w:p>
      <w:pPr>
        <w:pStyle w:val="Heading2"/>
      </w:pPr>
      <w:r>
        <w:rPr>
          <w:rFonts w:ascii="Open Sans" w:hAnsi="Open Sans" w:cs="Open Sans"/>
          <w:b/>
          <w:color w:val="1A1A2E"/>
          <w:sz w:val="28"/>
        </w:rPr>
        <w:t>5. Continuation of Other Terms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5.01 All other terms and conditions of your Appointment Letter / Confirmation Letter, including notice period of thirty (30) days, confidentiality, intellectual property assignment, non-solicitation, POSH Act, 2013, Code of Conduct and Employee Handbook, continue to apply and remain unchanged.</w:t>
      </w:r>
      <w:r>
        <w:rPr>
          <w:rFonts w:ascii="Open Sans" w:hAnsi="Open Sans" w:cs="Open Sans"/>
          <w:color w:val="59595B"/>
        </w:rPr>
      </w:r>
    </w:p>
    <w:p>
      <w:r>
        <w:rPr>
          <w:rFonts w:ascii="Open Sans" w:hAnsi="Open Sans" w:cs="Open Sans"/>
          <w:color w:val="59595B"/>
        </w:rPr>
      </w:r>
      <w:r>
        <w:rPr>
          <w:rFonts w:ascii="Open Sans" w:hAnsi="Open Sans" w:cs="Open Sans"/>
          <w:color w:val="59595B"/>
        </w:rPr>
        <w:t>5.02 This letter is personal to you and the contents are strictly confidential. Disclosure of your compensation to any other employee or third party shall be treated as misconduct.</w:t>
      </w:r>
      <w:r>
        <w:rPr>
          <w:rFonts w:ascii="Open Sans" w:hAnsi="Open Sans" w:cs="Open Sans"/>
          <w:color w:val="59595B"/>
        </w:rPr>
      </w:r>
    </w:p>
    <w:p>
      <w:pPr>
        <w:pStyle w:val="Heading2"/>
      </w:pPr>
      <w:r>
        <w:rPr>
          <w:rFonts w:ascii="Open Sans" w:hAnsi="Open Sans" w:cs="Open Sans"/>
          <w:b/>
          <w:color w:val="1A1A2E"/>
          <w:sz w:val="28"/>
        </w:rPr>
        <w:t>6. Acknowledgement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6.01 Please sign the duplicate copy as a token of your acceptance and return it to HR.</w:t>
      </w:r>
      <w:r>
        <w:rPr>
          <w:rFonts w:ascii="Open Sans" w:hAnsi="Open Sans" w:cs="Open Sans"/>
          <w:color w:val="59595B"/>
        </w:rPr>
      </w:r>
    </w:p>
    <w:p>
      <w:r>
        <w:rPr>
          <w:rFonts w:ascii="Open Sans" w:hAnsi="Open Sans" w:cs="Open Sans"/>
          <w:color w:val="59595B"/>
        </w:rPr>
      </w:r>
      <w:r>
        <w:rPr>
          <w:rFonts w:ascii="Open Sans" w:hAnsi="Open Sans" w:cs="Open Sans"/>
          <w:color w:val="59595B"/>
        </w:rPr>
        <w:t>Congratulations on your continued contribution to the Company.</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For and on behalf of </w:t>
      </w:r>
      <w:r>
        <w:rPr>
          <w:rFonts w:ascii="Open Sans" w:hAnsi="Open Sans" w:cs="Open Sans"/>
          <w:b/>
          <w:color w:val="59595B"/>
        </w:rPr>
        <w:t>Technijian IT Services Pvt. Ltd.</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Ravi Jain</w:t>
        <w:br/>
      </w:r>
      <w:r>
        <w:rPr>
          <w:rFonts w:ascii="Open Sans" w:hAnsi="Open Sans" w:cs="Open Sans"/>
          <w:color w:val="59595B"/>
        </w:rPr>
        <w:t>Director</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Accepted and Acknowledged</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br/>
      </w:r>
      <w:r>
        <w:rPr>
          <w:rFonts w:ascii="Open Sans" w:hAnsi="Open Sans" w:cs="Open Sans"/>
          <w:b/>
          <w:i/>
          <w:color w:val="59595B"/>
        </w:rPr>
        <w:t xml:space="preserve">Name: &lt;Employee Name&gt; Emp ID: &lt;Emp ID&gt; Date: </w:t>
      </w:r>
      <w:r>
        <w:rPr>
          <w:rFonts w:ascii="Open Sans" w:hAnsi="Open Sans" w:cs="Open Sans"/>
          <w:b/>
          <w:i/>
          <w:color w:val="59595B"/>
        </w:rPr>
        <w:t>_</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Enclosure:</w:t>
      </w:r>
      <w:r>
        <w:rPr>
          <w:rFonts w:ascii="Open Sans" w:hAnsi="Open Sans" w:cs="Open Sans"/>
          <w:color w:val="59595B"/>
        </w:rPr>
        <w:t xml:space="preserve"> Annexure A — Revised CTC Breakup</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