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Expense Reimbursement Policy — India</w:t>
      </w:r>
      <w:r>
        <w:rPr>
          <w:rFonts w:ascii="Open Sans" w:hAnsi="Open Sans" w:cs="Open Sans"/>
          <w:b/>
          <w:color w:val="006DB6"/>
          <w:sz w:val="36"/>
        </w:rPr>
      </w:r>
    </w:p>
    <w:p>
      <w:r>
        <w:rPr>
          <w:rFonts w:ascii="Open Sans" w:hAnsi="Open Sans" w:cs="Open Sans"/>
          <w:color w:val="59595B"/>
        </w:rPr>
      </w:r>
      <w:r>
        <w:rPr>
          <w:rFonts w:ascii="Open Sans" w:hAnsi="Open Sans" w:cs="Open Sans"/>
          <w:b/>
          <w:color w:val="59595B"/>
        </w:rPr>
        <w:t>Policy Owner:</w:t>
      </w:r>
      <w:r>
        <w:rPr>
          <w:rFonts w:ascii="Open Sans" w:hAnsi="Open Sans" w:cs="Open Sans"/>
          <w:color w:val="59595B"/>
        </w:rPr>
        <w:t xml:space="preserve"> Head of HR, India</w:t>
        <w:br/>
      </w:r>
      <w:r>
        <w:rPr>
          <w:rFonts w:ascii="Open Sans" w:hAnsi="Open Sans" w:cs="Open Sans"/>
          <w:color w:val="59595B"/>
        </w:rPr>
      </w:r>
      <w:r>
        <w:rPr>
          <w:rFonts w:ascii="Open Sans" w:hAnsi="Open Sans" w:cs="Open Sans"/>
          <w:b/>
          <w:color w:val="59595B"/>
        </w:rPr>
        <w:t>Approver:</w:t>
      </w:r>
      <w:r>
        <w:rPr>
          <w:rFonts w:ascii="Open Sans" w:hAnsi="Open Sans" w:cs="Open Sans"/>
          <w:color w:val="59595B"/>
        </w:rPr>
        <w:t xml:space="preserve"> Director, Technijian IT Services Pvt. Ltd.</w:t>
        <w:br/>
      </w:r>
      <w:r>
        <w:rPr>
          <w:rFonts w:ascii="Open Sans" w:hAnsi="Open Sans" w:cs="Open Sans"/>
          <w:color w:val="59595B"/>
        </w:rPr>
      </w:r>
      <w:r>
        <w:rPr>
          <w:rFonts w:ascii="Open Sans" w:hAnsi="Open Sans" w:cs="Open Sans"/>
          <w:b/>
          <w:color w:val="59595B"/>
        </w:rPr>
        <w:t>Effective Date:</w:t>
      </w:r>
      <w:r>
        <w:rPr>
          <w:rFonts w:ascii="Open Sans" w:hAnsi="Open Sans" w:cs="Open Sans"/>
          <w:color w:val="59595B"/>
        </w:rPr>
        <w:t xml:space="preserve"> </w:t>
      </w:r>
      <w:r>
        <w:rPr>
          <w:rFonts w:ascii="Open Sans" w:hAnsi="Open Sans" w:cs="Open Sans"/>
          <w:b/>
          <w:i/>
          <w:color w:val="59595B"/>
        </w:rPr>
        <w:t>_</w:t>
      </w:r>
      <w:r>
        <w:rPr>
          <w:rFonts w:ascii="Open Sans" w:hAnsi="Open Sans" w:cs="Open Sans"/>
          <w:color w:val="59595B"/>
        </w:rPr>
        <w:t>___</w:t>
        <w:br/>
      </w:r>
      <w:r>
        <w:rPr>
          <w:rFonts w:ascii="Open Sans" w:hAnsi="Open Sans" w:cs="Open Sans"/>
          <w:color w:val="59595B"/>
        </w:rPr>
      </w:r>
      <w:r>
        <w:rPr>
          <w:rFonts w:ascii="Open Sans" w:hAnsi="Open Sans" w:cs="Open Sans"/>
          <w:b/>
          <w:color w:val="59595B"/>
        </w:rPr>
        <w:t>Version:</w:t>
      </w:r>
      <w:r>
        <w:rPr>
          <w:rFonts w:ascii="Open Sans" w:hAnsi="Open Sans" w:cs="Open Sans"/>
          <w:color w:val="59595B"/>
        </w:rPr>
        <w:t xml:space="preserve"> 1.0</w:t>
        <w:br/>
      </w:r>
      <w:r>
        <w:rPr>
          <w:rFonts w:ascii="Open Sans" w:hAnsi="Open Sans" w:cs="Open Sans"/>
          <w:color w:val="59595B"/>
        </w:rPr>
      </w:r>
      <w:r>
        <w:rPr>
          <w:rFonts w:ascii="Open Sans" w:hAnsi="Open Sans" w:cs="Open Sans"/>
          <w:b/>
          <w:color w:val="59595B"/>
        </w:rPr>
        <w:t>Review Cycle:</w:t>
      </w:r>
      <w:r>
        <w:rPr>
          <w:rFonts w:ascii="Open Sans" w:hAnsi="Open Sans" w:cs="Open Sans"/>
          <w:color w:val="59595B"/>
        </w:rPr>
        <w:t xml:space="preserve"> Annual</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 Purpose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1.1 This Policy governs the reimbursement of business-related expenses incurred by employees of Technijian IT Services Pvt. Ltd. (the "</w:t>
      </w:r>
      <w:r>
        <w:rPr>
          <w:rFonts w:ascii="Open Sans" w:hAnsi="Open Sans" w:cs="Open Sans"/>
          <w:b/>
          <w:color w:val="59595B"/>
        </w:rPr>
        <w:t>Company</w:t>
      </w:r>
      <w:r>
        <w:rPr>
          <w:rFonts w:ascii="Open Sans" w:hAnsi="Open Sans" w:cs="Open Sans"/>
          <w:color w:val="59595B"/>
        </w:rPr>
        <w:t>") in the bona fide course of their duties, in compliance with the Payment of Wages Act, 1936, the Income-tax Act, 1961, and the Central Goods and Services Tax Act, 2017 ("</w:t>
      </w:r>
      <w:r>
        <w:rPr>
          <w:rFonts w:ascii="Open Sans" w:hAnsi="Open Sans" w:cs="Open Sans"/>
          <w:b/>
          <w:color w:val="59595B"/>
        </w:rPr>
        <w:t>CGST Act</w:t>
      </w:r>
      <w:r>
        <w:rPr>
          <w:rFonts w:ascii="Open Sans" w:hAnsi="Open Sans" w:cs="Open Sans"/>
          <w:color w:val="59595B"/>
        </w:rPr>
        <w:t>").</w:t>
      </w:r>
      <w:r>
        <w:rPr>
          <w:rFonts w:ascii="Open Sans" w:hAnsi="Open Sans" w:cs="Open Sans"/>
          <w:color w:val="59595B"/>
        </w:rPr>
      </w:r>
    </w:p>
    <w:p>
      <w:pPr>
        <w:pStyle w:val="Heading2"/>
      </w:pPr>
      <w:r>
        <w:rPr>
          <w:rFonts w:ascii="Open Sans" w:hAnsi="Open Sans" w:cs="Open Sans"/>
          <w:b/>
          <w:color w:val="1A1A2E"/>
          <w:sz w:val="28"/>
        </w:rPr>
        <w:t>2. Scope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2.1 Applies to all employees (confirmed, on probation, contract staff and interns) of the Company working from the India office or on assigned travel.</w:t>
        <w:br/>
      </w:r>
      <w:r>
        <w:rPr>
          <w:rFonts w:ascii="Open Sans" w:hAnsi="Open Sans" w:cs="Open Sans"/>
          <w:color w:val="59595B"/>
        </w:rPr>
        <w:t xml:space="preserve">2.2 Does </w:t>
      </w:r>
      <w:r>
        <w:rPr>
          <w:rFonts w:ascii="Open Sans" w:hAnsi="Open Sans" w:cs="Open Sans"/>
          <w:b/>
          <w:color w:val="59595B"/>
        </w:rPr>
        <w:t>not</w:t>
      </w:r>
      <w:r>
        <w:rPr>
          <w:rFonts w:ascii="Open Sans" w:hAnsi="Open Sans" w:cs="Open Sans"/>
          <w:color w:val="59595B"/>
        </w:rPr>
        <w:t xml:space="preserve"> apply to fixed allowances forming part of CTC (HRA, Special Allowance, etc.), which are paid through payroll.</w:t>
      </w:r>
      <w:r>
        <w:rPr>
          <w:rFonts w:ascii="Open Sans" w:hAnsi="Open Sans" w:cs="Open Sans"/>
          <w:color w:val="59595B"/>
        </w:rPr>
      </w:r>
    </w:p>
    <w:p>
      <w:pPr>
        <w:pStyle w:val="Heading2"/>
      </w:pPr>
      <w:r>
        <w:rPr>
          <w:rFonts w:ascii="Open Sans" w:hAnsi="Open Sans" w:cs="Open Sans"/>
          <w:b/>
          <w:color w:val="1A1A2E"/>
          <w:sz w:val="28"/>
        </w:rPr>
        <w:t>3. Governing Principles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3.1 Only </w:t>
      </w:r>
      <w:r>
        <w:rPr>
          <w:rFonts w:ascii="Open Sans" w:hAnsi="Open Sans" w:cs="Open Sans"/>
          <w:b/>
          <w:color w:val="59595B"/>
        </w:rPr>
        <w:t>bona fide, reasonable, and business-necessary</w:t>
      </w:r>
      <w:r>
        <w:rPr>
          <w:rFonts w:ascii="Open Sans" w:hAnsi="Open Sans" w:cs="Open Sans"/>
          <w:color w:val="59595B"/>
        </w:rPr>
        <w:t xml:space="preserve"> expenses are reimbursable.</w:t>
        <w:br/>
      </w:r>
      <w:r>
        <w:rPr>
          <w:rFonts w:ascii="Open Sans" w:hAnsi="Open Sans" w:cs="Open Sans"/>
          <w:color w:val="59595B"/>
        </w:rPr>
        <w:t xml:space="preserve">3.2 Every claim must be supported by a </w:t>
      </w:r>
      <w:r>
        <w:rPr>
          <w:rFonts w:ascii="Open Sans" w:hAnsi="Open Sans" w:cs="Open Sans"/>
          <w:b/>
          <w:color w:val="59595B"/>
        </w:rPr>
        <w:t>valid tax invoice</w:t>
      </w:r>
      <w:r>
        <w:rPr>
          <w:rFonts w:ascii="Open Sans" w:hAnsi="Open Sans" w:cs="Open Sans"/>
          <w:color w:val="59595B"/>
        </w:rPr>
        <w:t xml:space="preserve"> (with supplier GSTIN, recipient name "Technijian IT Services Pvt. Ltd." and Company GSTIN where required), or an original printed/digital receipt.</w:t>
        <w:br/>
      </w:r>
      <w:r>
        <w:rPr>
          <w:rFonts w:ascii="Open Sans" w:hAnsi="Open Sans" w:cs="Open Sans"/>
          <w:color w:val="59595B"/>
        </w:rPr>
        <w:t xml:space="preserve">3.3 Claims must be submitted within </w:t>
      </w:r>
      <w:r>
        <w:rPr>
          <w:rFonts w:ascii="Open Sans" w:hAnsi="Open Sans" w:cs="Open Sans"/>
          <w:b/>
          <w:color w:val="59595B"/>
        </w:rPr>
        <w:t>thirty (30) days</w:t>
      </w:r>
      <w:r>
        <w:rPr>
          <w:rFonts w:ascii="Open Sans" w:hAnsi="Open Sans" w:cs="Open Sans"/>
          <w:color w:val="59595B"/>
        </w:rPr>
        <w:t xml:space="preserve"> of incurrence. Claims older than 60 days will not be entertained except with written approval of the Director.</w:t>
        <w:br/>
      </w:r>
      <w:r>
        <w:rPr>
          <w:rFonts w:ascii="Open Sans" w:hAnsi="Open Sans" w:cs="Open Sans"/>
          <w:color w:val="59595B"/>
        </w:rPr>
        <w:t>3.4 Employees are expected to prefer the most economical option consistent with business needs and personal safety.</w:t>
      </w:r>
      <w:r>
        <w:rPr>
          <w:rFonts w:ascii="Open Sans" w:hAnsi="Open Sans" w:cs="Open Sans"/>
          <w:color w:val="59595B"/>
        </w:rPr>
      </w:r>
    </w:p>
    <w:p>
      <w:pPr>
        <w:pStyle w:val="Heading2"/>
      </w:pPr>
      <w:r>
        <w:rPr>
          <w:rFonts w:ascii="Open Sans" w:hAnsi="Open Sans" w:cs="Open Sans"/>
          <w:b/>
          <w:color w:val="1A1A2E"/>
          <w:sz w:val="28"/>
        </w:rPr>
        <w:t>4. Expense Categories, Limits and Approver</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Pr>
                <w:rFonts w:ascii="Open Sans" w:hAnsi="Open Sans"/>
                <w:b/>
                <w:sz w:val="20"/>
              </w:rPr>
              <w:t>#</w:t>
            </w:r>
          </w:p>
        </w:tc>
        <w:tc>
          <w:tcPr>
            <w:tcW w:type="dxa" w:w="1958"/>
          </w:tcPr>
          <w:p>
            <w:r>
              <w:rPr>
                <w:rFonts w:ascii="Open Sans" w:hAnsi="Open Sans"/>
                <w:b/>
                <w:sz w:val="20"/>
              </w:rPr>
              <w:t>Category</w:t>
            </w:r>
          </w:p>
        </w:tc>
        <w:tc>
          <w:tcPr>
            <w:tcW w:type="dxa" w:w="1958"/>
          </w:tcPr>
          <w:p>
            <w:r>
              <w:rPr>
                <w:rFonts w:ascii="Open Sans" w:hAnsi="Open Sans"/>
                <w:b/>
                <w:sz w:val="20"/>
              </w:rPr>
              <w:t>Limit / Basis</w:t>
            </w:r>
          </w:p>
        </w:tc>
        <w:tc>
          <w:tcPr>
            <w:tcW w:type="dxa" w:w="1958"/>
          </w:tcPr>
          <w:p>
            <w:r>
              <w:rPr>
                <w:rFonts w:ascii="Open Sans" w:hAnsi="Open Sans"/>
                <w:b/>
                <w:sz w:val="20"/>
              </w:rPr>
              <w:t>Approver</w:t>
            </w:r>
          </w:p>
        </w:tc>
        <w:tc>
          <w:tcPr>
            <w:tcW w:type="dxa" w:w="1958"/>
          </w:tcPr>
          <w:p>
            <w:r>
              <w:rPr>
                <w:rFonts w:ascii="Open Sans" w:hAnsi="Open Sans"/>
                <w:b/>
                <w:sz w:val="20"/>
              </w:rPr>
              <w:t>Notes</w:t>
            </w:r>
          </w:p>
        </w:tc>
      </w:tr>
      <w:tr>
        <w:tc>
          <w:tcPr>
            <w:tcW w:type="dxa" w:w="1958"/>
          </w:tcPr>
          <w:p>
            <w:r>
              <w:rPr>
                <w:rFonts w:ascii="Open Sans" w:hAnsi="Open Sans"/>
                <w:sz w:val="20"/>
              </w:rPr>
              <w:t>4.1</w:t>
            </w:r>
          </w:p>
        </w:tc>
        <w:tc>
          <w:tcPr>
            <w:tcW w:type="dxa" w:w="1958"/>
          </w:tcPr>
          <w:p>
            <w:r>
              <w:rPr>
                <w:rFonts w:ascii="Open Sans" w:hAnsi="Open Sans"/>
                <w:sz w:val="20"/>
              </w:rPr>
              <w:t>Local travel (cab, auto, metro, bus)</w:t>
            </w:r>
          </w:p>
        </w:tc>
        <w:tc>
          <w:tcPr>
            <w:tcW w:type="dxa" w:w="1958"/>
          </w:tcPr>
          <w:p>
            <w:r>
              <w:rPr>
                <w:rFonts w:ascii="Open Sans" w:hAnsi="Open Sans"/>
                <w:sz w:val="20"/>
              </w:rPr>
              <w:t>Actuals with receipt/app trip summary</w:t>
            </w:r>
          </w:p>
        </w:tc>
        <w:tc>
          <w:tcPr>
            <w:tcW w:type="dxa" w:w="1958"/>
          </w:tcPr>
          <w:p>
            <w:r>
              <w:rPr>
                <w:rFonts w:ascii="Open Sans" w:hAnsi="Open Sans"/>
                <w:sz w:val="20"/>
              </w:rPr>
              <w:t>Reporting manager</w:t>
            </w:r>
          </w:p>
        </w:tc>
        <w:tc>
          <w:tcPr>
            <w:tcW w:type="dxa" w:w="1958"/>
          </w:tcPr>
          <w:p>
            <w:r>
              <w:rPr>
                <w:rFonts w:ascii="Open Sans" w:hAnsi="Open Sans"/>
                <w:sz w:val="20"/>
              </w:rPr>
              <w:t>Use Company-preferred aggregator where available</w:t>
            </w:r>
          </w:p>
        </w:tc>
      </w:tr>
      <w:tr>
        <w:tc>
          <w:tcPr>
            <w:tcW w:type="dxa" w:w="1958"/>
          </w:tcPr>
          <w:p>
            <w:r>
              <w:rPr>
                <w:rFonts w:ascii="Open Sans" w:hAnsi="Open Sans"/>
                <w:sz w:val="20"/>
              </w:rPr>
              <w:t>4.2</w:t>
            </w:r>
          </w:p>
        </w:tc>
        <w:tc>
          <w:tcPr>
            <w:tcW w:type="dxa" w:w="1958"/>
          </w:tcPr>
          <w:p>
            <w:r>
              <w:rPr>
                <w:rFonts w:ascii="Open Sans" w:hAnsi="Open Sans"/>
                <w:sz w:val="20"/>
              </w:rPr>
              <w:t>Inter-city travel — train</w:t>
            </w:r>
          </w:p>
        </w:tc>
        <w:tc>
          <w:tcPr>
            <w:tcW w:type="dxa" w:w="1958"/>
          </w:tcPr>
          <w:p>
            <w:r>
              <w:rPr>
                <w:rFonts w:ascii="Open Sans" w:hAnsi="Open Sans"/>
                <w:sz w:val="20"/>
              </w:rPr>
              <w:t>II AC / III AC (actuals) with pre-approval</w:t>
            </w:r>
          </w:p>
        </w:tc>
        <w:tc>
          <w:tcPr>
            <w:tcW w:type="dxa" w:w="1958"/>
          </w:tcPr>
          <w:p>
            <w:r>
              <w:rPr>
                <w:rFonts w:ascii="Open Sans" w:hAnsi="Open Sans"/>
                <w:sz w:val="20"/>
              </w:rPr>
              <w:t>Manager + Finance</w:t>
            </w:r>
          </w:p>
        </w:tc>
        <w:tc>
          <w:tcPr>
            <w:tcW w:type="dxa" w:w="1958"/>
          </w:tcPr>
          <w:p>
            <w:r>
              <w:rPr>
                <w:rFonts w:ascii="Open Sans" w:hAnsi="Open Sans"/>
                <w:sz w:val="20"/>
              </w:rPr>
              <w:t>Economy class is default</w:t>
            </w:r>
          </w:p>
        </w:tc>
      </w:tr>
      <w:tr>
        <w:tc>
          <w:tcPr>
            <w:tcW w:type="dxa" w:w="1958"/>
          </w:tcPr>
          <w:p>
            <w:r>
              <w:rPr>
                <w:rFonts w:ascii="Open Sans" w:hAnsi="Open Sans"/>
                <w:sz w:val="20"/>
              </w:rPr>
              <w:t>4.3</w:t>
            </w:r>
          </w:p>
        </w:tc>
        <w:tc>
          <w:tcPr>
            <w:tcW w:type="dxa" w:w="1958"/>
          </w:tcPr>
          <w:p>
            <w:r>
              <w:rPr>
                <w:rFonts w:ascii="Open Sans" w:hAnsi="Open Sans"/>
                <w:sz w:val="20"/>
              </w:rPr>
              <w:t>Inter-city travel — air</w:t>
            </w:r>
          </w:p>
        </w:tc>
        <w:tc>
          <w:tcPr>
            <w:tcW w:type="dxa" w:w="1958"/>
          </w:tcPr>
          <w:p>
            <w:r>
              <w:rPr>
                <w:rFonts w:ascii="Open Sans" w:hAnsi="Open Sans"/>
                <w:sz w:val="20"/>
              </w:rPr>
              <w:t>Economy class, lowest fare on date of booking</w:t>
            </w:r>
          </w:p>
        </w:tc>
        <w:tc>
          <w:tcPr>
            <w:tcW w:type="dxa" w:w="1958"/>
          </w:tcPr>
          <w:p>
            <w:r>
              <w:rPr>
                <w:rFonts w:ascii="Open Sans" w:hAnsi="Open Sans"/>
                <w:sz w:val="20"/>
              </w:rPr>
              <w:t>Manager + Finance</w:t>
            </w:r>
          </w:p>
        </w:tc>
        <w:tc>
          <w:tcPr>
            <w:tcW w:type="dxa" w:w="1958"/>
          </w:tcPr>
          <w:p>
            <w:r>
              <w:rPr>
                <w:rFonts w:ascii="Open Sans" w:hAnsi="Open Sans"/>
                <w:sz w:val="20"/>
              </w:rPr>
              <w:t>Business class only with Director approval</w:t>
            </w:r>
          </w:p>
        </w:tc>
      </w:tr>
      <w:tr>
        <w:tc>
          <w:tcPr>
            <w:tcW w:type="dxa" w:w="1958"/>
          </w:tcPr>
          <w:p>
            <w:r>
              <w:rPr>
                <w:rFonts w:ascii="Open Sans" w:hAnsi="Open Sans"/>
                <w:sz w:val="20"/>
              </w:rPr>
              <w:t>4.4</w:t>
            </w:r>
          </w:p>
        </w:tc>
        <w:tc>
          <w:tcPr>
            <w:tcW w:type="dxa" w:w="1958"/>
          </w:tcPr>
          <w:p>
            <w:r>
              <w:rPr>
                <w:rFonts w:ascii="Open Sans" w:hAnsi="Open Sans"/>
                <w:sz w:val="20"/>
              </w:rPr>
              <w:t>Hotel accommodation</w:t>
            </w:r>
          </w:p>
        </w:tc>
        <w:tc>
          <w:tcPr>
            <w:tcW w:type="dxa" w:w="1958"/>
          </w:tcPr>
          <w:p>
            <w:r>
              <w:rPr>
                <w:rFonts w:ascii="Open Sans" w:hAnsi="Open Sans"/>
                <w:sz w:val="20"/>
              </w:rPr>
              <w:t xml:space="preserve">Tier-I: INR </w:t>
            </w:r>
            <w:r>
              <w:rPr>
                <w:rFonts w:ascii="Open Sans" w:hAnsi="Open Sans"/>
                <w:b/>
                <w:i/>
                <w:sz w:val="20"/>
              </w:rPr>
              <w:t>_</w:t>
            </w:r>
            <w:r>
              <w:rPr>
                <w:rFonts w:ascii="Open Sans" w:hAnsi="Open Sans"/>
                <w:b/>
                <w:sz w:val="20"/>
              </w:rPr>
              <w:t xml:space="preserve"> / night; Tier-II: INR </w:t>
            </w:r>
            <w:r>
              <w:rPr>
                <w:rFonts w:ascii="Open Sans" w:hAnsi="Open Sans"/>
                <w:sz w:val="20"/>
              </w:rPr>
              <w:t xml:space="preserve"> </w:t>
            </w:r>
            <w:r>
              <w:rPr>
                <w:rFonts w:ascii="Open Sans" w:hAnsi="Open Sans"/>
                <w:b/>
                <w:i/>
                <w:sz w:val="20"/>
              </w:rPr>
              <w:t xml:space="preserve"> / night; Tier-III: INR </w:t>
            </w:r>
            <w:r>
              <w:rPr>
                <w:rFonts w:ascii="Open Sans" w:hAnsi="Open Sans"/>
                <w:sz w:val="20"/>
              </w:rPr>
              <w:t xml:space="preserve"> __ / night</w:t>
            </w:r>
          </w:p>
        </w:tc>
        <w:tc>
          <w:tcPr>
            <w:tcW w:type="dxa" w:w="1958"/>
          </w:tcPr>
          <w:p>
            <w:r>
              <w:rPr>
                <w:rFonts w:ascii="Open Sans" w:hAnsi="Open Sans"/>
                <w:sz w:val="20"/>
              </w:rPr>
              <w:t>Manager + Finance</w:t>
            </w:r>
          </w:p>
        </w:tc>
        <w:tc>
          <w:tcPr>
            <w:tcW w:type="dxa" w:w="1958"/>
          </w:tcPr>
          <w:p>
            <w:r>
              <w:rPr>
                <w:rFonts w:ascii="Open Sans" w:hAnsi="Open Sans"/>
                <w:sz w:val="20"/>
              </w:rPr>
              <w:t>Taxes inclusive; supporting tax invoice required</w:t>
            </w:r>
          </w:p>
        </w:tc>
      </w:tr>
      <w:tr>
        <w:tc>
          <w:tcPr>
            <w:tcW w:type="dxa" w:w="1958"/>
          </w:tcPr>
          <w:p>
            <w:r>
              <w:rPr>
                <w:rFonts w:ascii="Open Sans" w:hAnsi="Open Sans"/>
                <w:sz w:val="20"/>
              </w:rPr>
              <w:t>4.5</w:t>
            </w:r>
          </w:p>
        </w:tc>
        <w:tc>
          <w:tcPr>
            <w:tcW w:type="dxa" w:w="1958"/>
          </w:tcPr>
          <w:p>
            <w:r>
              <w:rPr>
                <w:rFonts w:ascii="Open Sans" w:hAnsi="Open Sans"/>
                <w:sz w:val="20"/>
              </w:rPr>
              <w:t>Per diem on outstation travel (meals + incidentals)</w:t>
            </w:r>
          </w:p>
        </w:tc>
        <w:tc>
          <w:tcPr>
            <w:tcW w:type="dxa" w:w="1958"/>
          </w:tcPr>
          <w:p>
            <w:r>
              <w:rPr>
                <w:rFonts w:ascii="Open Sans" w:hAnsi="Open Sans"/>
                <w:sz w:val="20"/>
              </w:rPr>
              <w:t xml:space="preserve">INR </w:t>
            </w:r>
            <w:r>
              <w:rPr>
                <w:rFonts w:ascii="Open Sans" w:hAnsi="Open Sans"/>
                <w:b/>
                <w:i/>
                <w:sz w:val="20"/>
              </w:rPr>
              <w:t>_</w:t>
            </w:r>
            <w:r>
              <w:rPr>
                <w:rFonts w:ascii="Open Sans" w:hAnsi="Open Sans"/>
                <w:b/>
                <w:sz w:val="20"/>
              </w:rPr>
              <w:t xml:space="preserve"> / day (domestic); USD </w:t>
            </w:r>
            <w:r>
              <w:rPr>
                <w:rFonts w:ascii="Open Sans" w:hAnsi="Open Sans"/>
                <w:sz w:val="20"/>
              </w:rPr>
              <w:t xml:space="preserve"> ___ / day (international)</w:t>
            </w:r>
          </w:p>
        </w:tc>
        <w:tc>
          <w:tcPr>
            <w:tcW w:type="dxa" w:w="1958"/>
          </w:tcPr>
          <w:p>
            <w:r>
              <w:rPr>
                <w:rFonts w:ascii="Open Sans" w:hAnsi="Open Sans"/>
                <w:sz w:val="20"/>
              </w:rPr>
              <w:t>Manager</w:t>
            </w:r>
          </w:p>
        </w:tc>
        <w:tc>
          <w:tcPr>
            <w:tcW w:type="dxa" w:w="1958"/>
          </w:tcPr>
          <w:p>
            <w:r>
              <w:rPr>
                <w:rFonts w:ascii="Open Sans" w:hAnsi="Open Sans"/>
                <w:sz w:val="20"/>
              </w:rPr>
              <w:t>No per-diem on day of return before 12:00 IST</w:t>
            </w:r>
          </w:p>
        </w:tc>
      </w:tr>
      <w:tr>
        <w:tc>
          <w:tcPr>
            <w:tcW w:type="dxa" w:w="1958"/>
          </w:tcPr>
          <w:p>
            <w:r>
              <w:rPr>
                <w:rFonts w:ascii="Open Sans" w:hAnsi="Open Sans"/>
                <w:sz w:val="20"/>
              </w:rPr>
              <w:t>4.6</w:t>
            </w:r>
          </w:p>
        </w:tc>
        <w:tc>
          <w:tcPr>
            <w:tcW w:type="dxa" w:w="1958"/>
          </w:tcPr>
          <w:p>
            <w:r>
              <w:rPr>
                <w:rFonts w:ascii="Open Sans" w:hAnsi="Open Sans"/>
                <w:sz w:val="20"/>
              </w:rPr>
              <w:t>Client meals / business meals</w:t>
            </w:r>
          </w:p>
        </w:tc>
        <w:tc>
          <w:tcPr>
            <w:tcW w:type="dxa" w:w="1958"/>
          </w:tcPr>
          <w:p>
            <w:r>
              <w:rPr>
                <w:rFonts w:ascii="Open Sans" w:hAnsi="Open Sans"/>
                <w:sz w:val="20"/>
              </w:rPr>
              <w:t>Actuals with receipts and list of attendees</w:t>
            </w:r>
          </w:p>
        </w:tc>
        <w:tc>
          <w:tcPr>
            <w:tcW w:type="dxa" w:w="1958"/>
          </w:tcPr>
          <w:p>
            <w:r>
              <w:rPr>
                <w:rFonts w:ascii="Open Sans" w:hAnsi="Open Sans"/>
                <w:sz w:val="20"/>
              </w:rPr>
              <w:t>Manager</w:t>
            </w:r>
          </w:p>
        </w:tc>
        <w:tc>
          <w:tcPr>
            <w:tcW w:type="dxa" w:w="1958"/>
          </w:tcPr>
          <w:p>
            <w:r>
              <w:rPr>
                <w:rFonts w:ascii="Open Sans" w:hAnsi="Open Sans"/>
                <w:sz w:val="20"/>
              </w:rPr>
              <w:t>Modest and reasonable standard</w:t>
            </w:r>
          </w:p>
        </w:tc>
      </w:tr>
      <w:tr>
        <w:tc>
          <w:tcPr>
            <w:tcW w:type="dxa" w:w="1958"/>
          </w:tcPr>
          <w:p>
            <w:r>
              <w:rPr>
                <w:rFonts w:ascii="Open Sans" w:hAnsi="Open Sans"/>
                <w:sz w:val="20"/>
              </w:rPr>
              <w:t>4.7</w:t>
            </w:r>
          </w:p>
        </w:tc>
        <w:tc>
          <w:tcPr>
            <w:tcW w:type="dxa" w:w="1958"/>
          </w:tcPr>
          <w:p>
            <w:r>
              <w:rPr>
                <w:rFonts w:ascii="Open Sans" w:hAnsi="Open Sans"/>
                <w:sz w:val="20"/>
              </w:rPr>
              <w:t>Mobile / data (role-based)</w:t>
            </w:r>
          </w:p>
        </w:tc>
        <w:tc>
          <w:tcPr>
            <w:tcW w:type="dxa" w:w="1958"/>
          </w:tcPr>
          <w:p>
            <w:r>
              <w:rPr>
                <w:rFonts w:ascii="Open Sans" w:hAnsi="Open Sans"/>
                <w:sz w:val="20"/>
              </w:rPr>
              <w:t>INR _____ / month</w:t>
            </w:r>
          </w:p>
        </w:tc>
        <w:tc>
          <w:tcPr>
            <w:tcW w:type="dxa" w:w="1958"/>
          </w:tcPr>
          <w:p>
            <w:r>
              <w:rPr>
                <w:rFonts w:ascii="Open Sans" w:hAnsi="Open Sans"/>
                <w:sz w:val="20"/>
              </w:rPr>
              <w:t>HR</w:t>
            </w:r>
          </w:p>
        </w:tc>
        <w:tc>
          <w:tcPr>
            <w:tcW w:type="dxa" w:w="1958"/>
          </w:tcPr>
          <w:p>
            <w:r>
              <w:rPr>
                <w:rFonts w:ascii="Open Sans" w:hAnsi="Open Sans"/>
                <w:sz w:val="20"/>
              </w:rPr>
              <w:t>Against monthly tax invoice in employee name</w:t>
            </w:r>
          </w:p>
        </w:tc>
      </w:tr>
      <w:tr>
        <w:tc>
          <w:tcPr>
            <w:tcW w:type="dxa" w:w="1958"/>
          </w:tcPr>
          <w:p>
            <w:r>
              <w:rPr>
                <w:rFonts w:ascii="Open Sans" w:hAnsi="Open Sans"/>
                <w:sz w:val="20"/>
              </w:rPr>
              <w:t>4.8</w:t>
            </w:r>
          </w:p>
        </w:tc>
        <w:tc>
          <w:tcPr>
            <w:tcW w:type="dxa" w:w="1958"/>
          </w:tcPr>
          <w:p>
            <w:r>
              <w:rPr>
                <w:rFonts w:ascii="Open Sans" w:hAnsi="Open Sans"/>
                <w:sz w:val="20"/>
              </w:rPr>
              <w:t>Home-office internet (role-based)</w:t>
            </w:r>
          </w:p>
        </w:tc>
        <w:tc>
          <w:tcPr>
            <w:tcW w:type="dxa" w:w="1958"/>
          </w:tcPr>
          <w:p>
            <w:r>
              <w:rPr>
                <w:rFonts w:ascii="Open Sans" w:hAnsi="Open Sans"/>
                <w:sz w:val="20"/>
              </w:rPr>
              <w:t>INR _____ / month</w:t>
            </w:r>
          </w:p>
        </w:tc>
        <w:tc>
          <w:tcPr>
            <w:tcW w:type="dxa" w:w="1958"/>
          </w:tcPr>
          <w:p>
            <w:r>
              <w:rPr>
                <w:rFonts w:ascii="Open Sans" w:hAnsi="Open Sans"/>
                <w:sz w:val="20"/>
              </w:rPr>
              <w:t>HR</w:t>
            </w:r>
          </w:p>
        </w:tc>
        <w:tc>
          <w:tcPr>
            <w:tcW w:type="dxa" w:w="1958"/>
          </w:tcPr>
          <w:p>
            <w:r>
              <w:rPr>
                <w:rFonts w:ascii="Open Sans" w:hAnsi="Open Sans"/>
                <w:sz w:val="20"/>
              </w:rPr>
              <w:t>Against monthly tax invoice</w:t>
            </w:r>
          </w:p>
        </w:tc>
      </w:tr>
      <w:tr>
        <w:tc>
          <w:tcPr>
            <w:tcW w:type="dxa" w:w="1958"/>
          </w:tcPr>
          <w:p>
            <w:r>
              <w:rPr>
                <w:rFonts w:ascii="Open Sans" w:hAnsi="Open Sans"/>
                <w:sz w:val="20"/>
              </w:rPr>
              <w:t>4.9</w:t>
            </w:r>
          </w:p>
        </w:tc>
        <w:tc>
          <w:tcPr>
            <w:tcW w:type="dxa" w:w="1958"/>
          </w:tcPr>
          <w:p>
            <w:r>
              <w:rPr>
                <w:rFonts w:ascii="Open Sans" w:hAnsi="Open Sans"/>
                <w:sz w:val="20"/>
              </w:rPr>
              <w:t>Books, certifications and approved training</w:t>
            </w:r>
          </w:p>
        </w:tc>
        <w:tc>
          <w:tcPr>
            <w:tcW w:type="dxa" w:w="1958"/>
          </w:tcPr>
          <w:p>
            <w:r>
              <w:rPr>
                <w:rFonts w:ascii="Open Sans" w:hAnsi="Open Sans"/>
                <w:sz w:val="20"/>
              </w:rPr>
              <w:t>INR _____ per annum</w:t>
            </w:r>
          </w:p>
        </w:tc>
        <w:tc>
          <w:tcPr>
            <w:tcW w:type="dxa" w:w="1958"/>
          </w:tcPr>
          <w:p>
            <w:r>
              <w:rPr>
                <w:rFonts w:ascii="Open Sans" w:hAnsi="Open Sans"/>
                <w:sz w:val="20"/>
              </w:rPr>
              <w:t>Manager + HR</w:t>
            </w:r>
          </w:p>
        </w:tc>
        <w:tc>
          <w:tcPr>
            <w:tcW w:type="dxa" w:w="1958"/>
          </w:tcPr>
          <w:p>
            <w:r>
              <w:rPr>
                <w:rFonts w:ascii="Open Sans" w:hAnsi="Open Sans"/>
                <w:sz w:val="20"/>
              </w:rPr>
              <w:t>Material must be relevant to role</w:t>
            </w:r>
          </w:p>
        </w:tc>
      </w:tr>
      <w:tr>
        <w:tc>
          <w:tcPr>
            <w:tcW w:type="dxa" w:w="1958"/>
          </w:tcPr>
          <w:p>
            <w:r>
              <w:rPr>
                <w:rFonts w:ascii="Open Sans" w:hAnsi="Open Sans"/>
                <w:sz w:val="20"/>
              </w:rPr>
              <w:t>4.10</w:t>
            </w:r>
          </w:p>
        </w:tc>
        <w:tc>
          <w:tcPr>
            <w:tcW w:type="dxa" w:w="1958"/>
          </w:tcPr>
          <w:p>
            <w:r>
              <w:rPr>
                <w:rFonts w:ascii="Open Sans" w:hAnsi="Open Sans"/>
                <w:sz w:val="20"/>
              </w:rPr>
              <w:t>Visa / passport (business-necessary travel)</w:t>
            </w:r>
          </w:p>
        </w:tc>
        <w:tc>
          <w:tcPr>
            <w:tcW w:type="dxa" w:w="1958"/>
          </w:tcPr>
          <w:p>
            <w:r>
              <w:rPr>
                <w:rFonts w:ascii="Open Sans" w:hAnsi="Open Sans"/>
                <w:sz w:val="20"/>
              </w:rPr>
              <w:t>Actuals</w:t>
            </w:r>
          </w:p>
        </w:tc>
        <w:tc>
          <w:tcPr>
            <w:tcW w:type="dxa" w:w="1958"/>
          </w:tcPr>
          <w:p>
            <w:r>
              <w:rPr>
                <w:rFonts w:ascii="Open Sans" w:hAnsi="Open Sans"/>
                <w:sz w:val="20"/>
              </w:rPr>
              <w:t>HR + Finance</w:t>
            </w:r>
          </w:p>
        </w:tc>
        <w:tc>
          <w:tcPr>
            <w:tcW w:type="dxa" w:w="1958"/>
          </w:tcPr>
          <w:p>
            <w:r>
              <w:rPr>
                <w:rFonts w:ascii="Open Sans" w:hAnsi="Open Sans"/>
                <w:sz w:val="20"/>
              </w:rPr>
              <w:t>Company-arranged where possible</w:t>
            </w:r>
          </w:p>
        </w:tc>
      </w:tr>
    </w:tbl>
    <w:p>
      <w:r>
        <w:rPr>
          <w:rFonts w:ascii="Open Sans" w:hAnsi="Open Sans" w:cs="Open Sans"/>
          <w:color w:val="59595B"/>
        </w:rPr>
      </w:r>
    </w:p>
    <w:p>
      <w:pPr>
        <w:pStyle w:val="Heading2"/>
      </w:pPr>
      <w:r>
        <w:rPr>
          <w:rFonts w:ascii="Open Sans" w:hAnsi="Open Sans" w:cs="Open Sans"/>
          <w:b/>
          <w:color w:val="1A1A2E"/>
          <w:sz w:val="28"/>
        </w:rPr>
        <w:t>5. Submission Process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5.1 Raise the claim in the Company expense system within thirty (30) days of incurrence.</w:t>
        <w:br/>
      </w:r>
      <w:r>
        <w:rPr>
          <w:rFonts w:ascii="Open Sans" w:hAnsi="Open Sans" w:cs="Open Sans"/>
          <w:color w:val="59595B"/>
        </w:rPr>
        <w:t>5.2 Attach scanned/digital copies of all original tax invoices and receipts. Retain physicals until reimbursement is credited.</w:t>
        <w:br/>
      </w:r>
      <w:r>
        <w:rPr>
          <w:rFonts w:ascii="Open Sans" w:hAnsi="Open Sans" w:cs="Open Sans"/>
          <w:color w:val="59595B"/>
        </w:rPr>
        <w:t>5.3 Manager approves within three (3) working days; Finance disburses with the next payroll cycle.</w:t>
        <w:br/>
      </w:r>
      <w:r>
        <w:rPr>
          <w:rFonts w:ascii="Open Sans" w:hAnsi="Open Sans" w:cs="Open Sans"/>
          <w:color w:val="59595B"/>
        </w:rPr>
        <w:t xml:space="preserve">5.4 Where the Company is entitled to claim </w:t>
      </w:r>
      <w:r>
        <w:rPr>
          <w:rFonts w:ascii="Open Sans" w:hAnsi="Open Sans" w:cs="Open Sans"/>
          <w:b/>
          <w:color w:val="59595B"/>
        </w:rPr>
        <w:t>GST input tax credit</w:t>
      </w:r>
      <w:r>
        <w:rPr>
          <w:rFonts w:ascii="Open Sans" w:hAnsi="Open Sans" w:cs="Open Sans"/>
          <w:color w:val="59595B"/>
        </w:rPr>
        <w:t xml:space="preserve"> under Sections 16 and 17 of the CGST Act, the tax invoice must bear the Company's correct GSTIN, legal name and registered address. Claims lacking compliant GST documentation may be reimbursed without the GST component.</w:t>
      </w:r>
      <w:r>
        <w:rPr>
          <w:rFonts w:ascii="Open Sans" w:hAnsi="Open Sans" w:cs="Open Sans"/>
          <w:color w:val="59595B"/>
        </w:rPr>
      </w:r>
    </w:p>
    <w:p>
      <w:pPr>
        <w:pStyle w:val="Heading2"/>
      </w:pPr>
      <w:r>
        <w:rPr>
          <w:rFonts w:ascii="Open Sans" w:hAnsi="Open Sans" w:cs="Open Sans"/>
          <w:b/>
          <w:color w:val="1A1A2E"/>
          <w:sz w:val="28"/>
        </w:rPr>
        <w:t>6. Prohibited Expenses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6.1 Personal expenses (including personal laundry, movies, in-room entertainment, spa, gym).</w:t>
        <w:br/>
      </w:r>
      <w:r>
        <w:rPr>
          <w:rFonts w:ascii="Open Sans" w:hAnsi="Open Sans" w:cs="Open Sans"/>
          <w:color w:val="59595B"/>
        </w:rPr>
        <w:t xml:space="preserve">6.2 Alcohol, except client business meals </w:t>
      </w:r>
      <w:r>
        <w:rPr>
          <w:rFonts w:ascii="Open Sans" w:hAnsi="Open Sans" w:cs="Open Sans"/>
          <w:b/>
          <w:color w:val="59595B"/>
        </w:rPr>
        <w:t>pre-approved in writing</w:t>
      </w:r>
      <w:r>
        <w:rPr>
          <w:rFonts w:ascii="Open Sans" w:hAnsi="Open Sans" w:cs="Open Sans"/>
          <w:color w:val="59595B"/>
        </w:rPr>
        <w:t xml:space="preserve"> by the reporting manager and, in all cases, subject to local legality.</w:t>
        <w:br/>
      </w:r>
      <w:r>
        <w:rPr>
          <w:rFonts w:ascii="Open Sans" w:hAnsi="Open Sans" w:cs="Open Sans"/>
          <w:color w:val="59595B"/>
        </w:rPr>
        <w:t xml:space="preserve">6.3 Gifts to clients, vendors, public officials or their family members </w:t>
      </w:r>
      <w:r>
        <w:rPr>
          <w:rFonts w:ascii="Open Sans" w:hAnsi="Open Sans" w:cs="Open Sans"/>
          <w:b/>
          <w:color w:val="59595B"/>
        </w:rPr>
        <w:t>without prior written Compliance approval</w:t>
      </w:r>
      <w:r>
        <w:rPr>
          <w:rFonts w:ascii="Open Sans" w:hAnsi="Open Sans" w:cs="Open Sans"/>
          <w:color w:val="59595B"/>
        </w:rPr>
        <w:t>. All gifts must comply with the Company's Anti-Bribery &amp; Anti-Corruption standards and the Prevention of Corruption Act, 1988.</w:t>
        <w:br/>
      </w:r>
      <w:r>
        <w:rPr>
          <w:rFonts w:ascii="Open Sans" w:hAnsi="Open Sans" w:cs="Open Sans"/>
          <w:color w:val="59595B"/>
        </w:rPr>
        <w:t>6.4 Payments in cash where a compliant electronic channel and tax invoice are available. Claims involving cash payments above limits notified under the Income-tax Act may be disallowed.</w:t>
        <w:br/>
      </w:r>
      <w:r>
        <w:rPr>
          <w:rFonts w:ascii="Open Sans" w:hAnsi="Open Sans" w:cs="Open Sans"/>
          <w:color w:val="59595B"/>
        </w:rPr>
        <w:t>6.5 Expenses related to a spouse, family member or non-employee travelling with the employee, unless specifically pre-approved.</w:t>
      </w:r>
      <w:r>
        <w:rPr>
          <w:rFonts w:ascii="Open Sans" w:hAnsi="Open Sans" w:cs="Open Sans"/>
          <w:color w:val="59595B"/>
        </w:rPr>
      </w:r>
    </w:p>
    <w:p>
      <w:pPr>
        <w:pStyle w:val="Heading2"/>
      </w:pPr>
      <w:r>
        <w:rPr>
          <w:rFonts w:ascii="Open Sans" w:hAnsi="Open Sans" w:cs="Open Sans"/>
          <w:b/>
          <w:color w:val="1A1A2E"/>
          <w:sz w:val="28"/>
        </w:rPr>
        <w:t>7. Non-Compliance and Fraudulent Claims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7.1 Submission of </w:t>
      </w:r>
      <w:r>
        <w:rPr>
          <w:rFonts w:ascii="Open Sans" w:hAnsi="Open Sans" w:cs="Open Sans"/>
          <w:b/>
          <w:color w:val="59595B"/>
        </w:rPr>
        <w:t>false, inflated, or duplicate</w:t>
      </w:r>
      <w:r>
        <w:rPr>
          <w:rFonts w:ascii="Open Sans" w:hAnsi="Open Sans" w:cs="Open Sans"/>
          <w:color w:val="59595B"/>
        </w:rPr>
        <w:t xml:space="preserve"> claims, or claims with fabricated invoices, constitutes grave misconduct.</w:t>
        <w:br/>
      </w:r>
      <w:r>
        <w:rPr>
          <w:rFonts w:ascii="Open Sans" w:hAnsi="Open Sans" w:cs="Open Sans"/>
          <w:color w:val="59595B"/>
        </w:rPr>
        <w:t xml:space="preserve">7.2 Consequences include recovery of the amount, disciplinary action under the Company's disciplinary framework and the Industrial Employment (Standing Orders) Act, 1946 (as applicable), and may include </w:t>
      </w:r>
      <w:r>
        <w:rPr>
          <w:rFonts w:ascii="Open Sans" w:hAnsi="Open Sans" w:cs="Open Sans"/>
          <w:b/>
          <w:color w:val="59595B"/>
        </w:rPr>
        <w:t>termination for cause</w:t>
      </w:r>
      <w:r>
        <w:rPr>
          <w:rFonts w:ascii="Open Sans" w:hAnsi="Open Sans" w:cs="Open Sans"/>
          <w:color w:val="59595B"/>
        </w:rPr>
        <w:t>. The Company may, where warranted, initiate civil and criminal proceedings.</w:t>
      </w:r>
      <w:r>
        <w:rPr>
          <w:rFonts w:ascii="Open Sans" w:hAnsi="Open Sans" w:cs="Open Sans"/>
          <w:color w:val="59595B"/>
        </w:rPr>
      </w:r>
    </w:p>
    <w:p>
      <w:pPr>
        <w:pStyle w:val="Heading2"/>
      </w:pPr>
      <w:r>
        <w:rPr>
          <w:rFonts w:ascii="Open Sans" w:hAnsi="Open Sans" w:cs="Open Sans"/>
          <w:b/>
          <w:color w:val="1A1A2E"/>
          <w:sz w:val="28"/>
        </w:rPr>
        <w:t>8. Records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8.1 Reimbursement records are retained for a minimum of </w:t>
      </w:r>
      <w:r>
        <w:rPr>
          <w:rFonts w:ascii="Open Sans" w:hAnsi="Open Sans" w:cs="Open Sans"/>
          <w:b/>
          <w:color w:val="59595B"/>
        </w:rPr>
        <w:t>eight (8) years</w:t>
      </w:r>
      <w:r>
        <w:rPr>
          <w:rFonts w:ascii="Open Sans" w:hAnsi="Open Sans" w:cs="Open Sans"/>
          <w:color w:val="59595B"/>
        </w:rPr>
        <w:t xml:space="preserve"> in line with record-keeping requirements under the Income-tax Act, 1961 and the CGST Act, 2017.</w:t>
      </w:r>
      <w:r>
        <w:rPr>
          <w:rFonts w:ascii="Open Sans" w:hAnsi="Open Sans" w:cs="Open Sans"/>
          <w:color w:val="59595B"/>
        </w:rPr>
      </w:r>
    </w:p>
    <w:p>
      <w:pPr>
        <w:pStyle w:val="Heading2"/>
      </w:pPr>
      <w:r>
        <w:rPr>
          <w:rFonts w:ascii="Open Sans" w:hAnsi="Open Sans" w:cs="Open Sans"/>
          <w:b/>
          <w:color w:val="1A1A2E"/>
          <w:sz w:val="28"/>
        </w:rPr>
        <w:t>9. Review and Amendment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9.1 The Company reserves the right to amend this Policy, category limits, and approval hierarchy from time to time. Changes will be communicated via the Employee Handbook and HR notice.</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Approved: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r>
      <w:r>
        <w:rPr>
          <w:rFonts w:ascii="Open Sans" w:hAnsi="Open Sans" w:cs="Open Sans"/>
          <w:color w:val="59595B"/>
        </w:rPr>
        <w:t>, Director</w:t>
        <w:br/>
      </w:r>
      <w:r>
        <w:rPr>
          <w:rFonts w:ascii="Open Sans" w:hAnsi="Open Sans" w:cs="Open Sans"/>
          <w:color w:val="59595B"/>
        </w:rPr>
        <w:t>For Technijian IT Services Pvt. Ltd.</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