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Open Sans" w:hAnsi="Open Sans" w:cs="Open Sans"/>
          <w:b/>
          <w:color w:val="006DB6"/>
          <w:sz w:val="36"/>
        </w:rPr>
        <w:t>Performance Improvement Plan (PIP)</w:t>
      </w:r>
      <w:r>
        <w:rPr>
          <w:rFonts w:ascii="Open Sans" w:hAnsi="Open Sans" w:cs="Open Sans"/>
          <w:b/>
          <w:color w:val="006DB6"/>
          <w:sz w:val="36"/>
        </w:rPr>
      </w:r>
    </w:p>
    <w:p>
      <w:r>
        <w:rPr>
          <w:rFonts w:ascii="Open Sans" w:hAnsi="Open Sans" w:cs="Open Sans"/>
          <w:color w:val="59595B"/>
        </w:rPr>
      </w:r>
      <w:r>
        <w:rPr>
          <w:rFonts w:ascii="Open Sans" w:hAnsi="Open Sans" w:cs="Open Sans"/>
          <w:b/>
          <w:color w:val="59595B"/>
        </w:rPr>
        <w:t>Date:</w:t>
      </w:r>
      <w:r>
        <w:rPr>
          <w:rFonts w:ascii="Open Sans" w:hAnsi="Open Sans" w:cs="Open Sans"/>
          <w:color w:val="59595B"/>
        </w:rPr>
        <w:t xml:space="preserve"> </w:t>
      </w:r>
      <w:r>
        <w:rPr>
          <w:rFonts w:ascii="Open Sans" w:hAnsi="Open Sans" w:cs="Open Sans"/>
          <w:b/>
          <w:i/>
          <w:color w:val="59595B"/>
        </w:rPr>
        <w:t>_</w:t>
        <w:br/>
      </w:r>
      <w:r>
        <w:rPr>
          <w:rFonts w:ascii="Open Sans" w:hAnsi="Open Sans" w:cs="Open Sans"/>
          <w:b/>
          <w:i/>
          <w:color w:val="59595B"/>
        </w:rPr>
      </w:r>
      <w:r>
        <w:rPr>
          <w:rFonts w:ascii="Open Sans" w:hAnsi="Open Sans" w:cs="Open Sans"/>
          <w:b/>
          <w:i/>
          <w:color w:val="59595B"/>
        </w:rPr>
        <w:t>Ref:</w:t>
      </w:r>
      <w:r>
        <w:rPr>
          <w:rFonts w:ascii="Open Sans" w:hAnsi="Open Sans" w:cs="Open Sans"/>
          <w:i/>
          <w:color w:val="59595B"/>
        </w:rPr>
        <w:t xml:space="preserve"> TIJ/HR/PIP/</w:t>
      </w:r>
      <w:r>
        <w:rPr>
          <w:rFonts w:ascii="Open Sans" w:hAnsi="Open Sans" w:cs="Open Sans"/>
          <w:color w:val="59595B"/>
        </w:rPr>
        <w:t>_/____</w:t>
      </w:r>
      <w:r>
        <w:rPr>
          <w:rFonts w:ascii="Open Sans" w:hAnsi="Open Sans" w:cs="Open Sans"/>
          <w:color w:val="59595B"/>
        </w:rPr>
      </w:r>
    </w:p>
    <w:p>
      <w:r>
        <w:rPr>
          <w:rFonts w:ascii="Open Sans" w:hAnsi="Open Sans" w:cs="Open Sans"/>
          <w:color w:val="59595B"/>
        </w:rPr>
      </w:r>
      <w:r>
        <w:rPr>
          <w:rFonts w:ascii="Open Sans" w:hAnsi="Open Sans" w:cs="Open Sans"/>
          <w:b/>
          <w:color w:val="59595B"/>
        </w:rPr>
        <w:t>To:</w:t>
        <w:br/>
      </w:r>
      <w:r>
        <w:rPr>
          <w:rFonts w:ascii="Open Sans" w:hAnsi="Open Sans" w:cs="Open Sans"/>
          <w:color w:val="59595B"/>
        </w:rPr>
        <w:t>&lt;Employee Name&gt;</w:t>
        <w:br/>
      </w:r>
      <w:r>
        <w:rPr>
          <w:rFonts w:ascii="Open Sans" w:hAnsi="Open Sans" w:cs="Open Sans"/>
          <w:color w:val="59595B"/>
        </w:rPr>
        <w:t>&lt;Emp ID&gt;</w:t>
        <w:br/>
      </w:r>
      <w:r>
        <w:rPr>
          <w:rFonts w:ascii="Open Sans" w:hAnsi="Open Sans" w:cs="Open Sans"/>
          <w:color w:val="59595B"/>
        </w:rPr>
        <w:t>&lt;Designation&gt;</w:t>
      </w:r>
      <w:r>
        <w:rPr>
          <w:rFonts w:ascii="Open Sans" w:hAnsi="Open Sans" w:cs="Open Sans"/>
          <w:color w:val="59595B"/>
        </w:rPr>
      </w:r>
    </w:p>
    <w:p>
      <w:r>
        <w:rPr>
          <w:rFonts w:ascii="Open Sans" w:hAnsi="Open Sans" w:cs="Open Sans"/>
          <w:color w:val="59595B"/>
        </w:rPr>
      </w:r>
      <w:r>
        <w:rPr>
          <w:rFonts w:ascii="Open Sans" w:hAnsi="Open Sans" w:cs="Open Sans"/>
          <w:color w:val="59595B"/>
        </w:rPr>
        <w:t>Dear &lt;Employee Name&gt;,</w:t>
      </w:r>
      <w:r>
        <w:rPr>
          <w:rFonts w:ascii="Open Sans" w:hAnsi="Open Sans" w:cs="Open Sans"/>
          <w:color w:val="59595B"/>
        </w:rPr>
      </w:r>
    </w:p>
    <w:p>
      <w:pPr>
        <w:pStyle w:val="Heading2"/>
      </w:pPr>
      <w:r>
        <w:rPr>
          <w:rFonts w:ascii="Open Sans" w:hAnsi="Open Sans" w:cs="Open Sans"/>
          <w:b/>
          <w:color w:val="1A1A2E"/>
          <w:sz w:val="28"/>
        </w:rPr>
        <w:t>1. Reference and Context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1.01 This letter is issued pursuant to your performance review dated &lt;review date&gt;, details of which were discussed with you on &lt;discussion date&gt; by your reporting manager, &lt;Manager Name&gt;, in the presence of HR.</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1.02 Your performance during the review period &lt;start&gt; to &lt;end&gt; has been assessed as </w:t>
      </w:r>
      <w:r>
        <w:rPr>
          <w:rFonts w:ascii="Open Sans" w:hAnsi="Open Sans" w:cs="Open Sans"/>
          <w:b/>
          <w:color w:val="59595B"/>
        </w:rPr>
        <w:t>Below Expectations</w:t>
      </w:r>
      <w:r>
        <w:rPr>
          <w:rFonts w:ascii="Open Sans" w:hAnsi="Open Sans" w:cs="Open Sans"/>
          <w:color w:val="59595B"/>
        </w:rPr>
        <w:t>. The specific performance gaps are set out in Clause 2 below.</w:t>
      </w:r>
      <w:r>
        <w:rPr>
          <w:rFonts w:ascii="Open Sans" w:hAnsi="Open Sans" w:cs="Open Sans"/>
          <w:color w:val="59595B"/>
        </w:rPr>
      </w:r>
    </w:p>
    <w:p>
      <w:pPr>
        <w:pStyle w:val="Heading2"/>
      </w:pPr>
      <w:r>
        <w:rPr>
          <w:rFonts w:ascii="Open Sans" w:hAnsi="Open Sans" w:cs="Open Sans"/>
          <w:b/>
          <w:color w:val="1A1A2E"/>
          <w:sz w:val="28"/>
        </w:rPr>
        <w:t>2. Specific Performance Gaps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2.01 The following gaps require sustained, measurable and time-bound improvement:</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b/>
          <w:color w:val="59595B"/>
        </w:rPr>
        <w:t>&lt;Area 1&gt;:</w:t>
      </w:r>
      <w:r>
        <w:rPr>
          <w:rFonts w:ascii="Open Sans" w:hAnsi="Open Sans" w:cs="Open Sans"/>
          <w:color w:val="59595B"/>
        </w:rPr>
        <w:t xml:space="preserve"> &lt;specific description, examples, dates, tickets / deliverables / metrics, SLA misses&gt;</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b/>
          <w:color w:val="59595B"/>
        </w:rPr>
        <w:t>&lt;Area 2&gt;:</w:t>
      </w:r>
      <w:r>
        <w:rPr>
          <w:rFonts w:ascii="Open Sans" w:hAnsi="Open Sans" w:cs="Open Sans"/>
          <w:color w:val="59595B"/>
        </w:rPr>
        <w:t xml:space="preserve"> &lt;quantified gap — quality, productivity, attendance, response time&gt;</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b/>
          <w:color w:val="59595B"/>
        </w:rPr>
        <w:t>&lt;Area 3&gt;:</w:t>
      </w:r>
      <w:r>
        <w:rPr>
          <w:rFonts w:ascii="Open Sans" w:hAnsi="Open Sans" w:cs="Open Sans"/>
          <w:color w:val="59595B"/>
        </w:rPr>
        <w:t xml:space="preserve"> &lt;behavioural / collaboration / communication, with examples&gt;</w:t>
      </w:r>
      <w:r>
        <w:rPr>
          <w:rFonts w:ascii="Open Sans" w:hAnsi="Open Sans" w:cs="Open Sans"/>
          <w:color w:val="59595B"/>
        </w:rPr>
      </w:r>
      <w:r>
        <w:rPr>
          <w:rFonts w:ascii="Open Sans" w:hAnsi="Open Sans" w:cs="Open Sans"/>
          <w:color w:val="59595B"/>
        </w:rPr>
      </w:r>
    </w:p>
    <w:p>
      <w:pPr>
        <w:pStyle w:val="Heading2"/>
      </w:pPr>
      <w:r>
        <w:rPr>
          <w:rFonts w:ascii="Open Sans" w:hAnsi="Open Sans" w:cs="Open Sans"/>
          <w:b/>
          <w:color w:val="1A1A2E"/>
          <w:sz w:val="28"/>
        </w:rPr>
        <w:t>3. PIP Duration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3.01 A formal Performance Improvement Plan is hereby placed into effect for a period of </w:t>
      </w:r>
      <w:r>
        <w:rPr>
          <w:rFonts w:ascii="Open Sans" w:hAnsi="Open Sans" w:cs="Open Sans"/>
          <w:b/>
          <w:color w:val="59595B"/>
        </w:rPr>
        <w:t>[ ] sixty (60) days / [ ] ninety (90) days</w:t>
      </w:r>
      <w:r>
        <w:rPr>
          <w:rFonts w:ascii="Open Sans" w:hAnsi="Open Sans" w:cs="Open Sans"/>
          <w:color w:val="59595B"/>
        </w:rPr>
        <w:t>, from &lt;start date&gt; to &lt;end date&gt; (the "</w:t>
      </w:r>
      <w:r>
        <w:rPr>
          <w:rFonts w:ascii="Open Sans" w:hAnsi="Open Sans" w:cs="Open Sans"/>
          <w:b/>
          <w:color w:val="59595B"/>
        </w:rPr>
        <w:t>PIP Period</w:t>
      </w:r>
      <w:r>
        <w:rPr>
          <w:rFonts w:ascii="Open Sans" w:hAnsi="Open Sans" w:cs="Open Sans"/>
          <w:color w:val="59595B"/>
        </w:rPr>
        <w:t>").</w:t>
      </w:r>
      <w:r>
        <w:rPr>
          <w:rFonts w:ascii="Open Sans" w:hAnsi="Open Sans" w:cs="Open Sans"/>
          <w:color w:val="59595B"/>
        </w:rPr>
      </w:r>
    </w:p>
    <w:p>
      <w:pPr>
        <w:pStyle w:val="Heading2"/>
      </w:pPr>
      <w:r>
        <w:rPr>
          <w:rFonts w:ascii="Open Sans" w:hAnsi="Open Sans" w:cs="Open Sans"/>
          <w:b/>
          <w:color w:val="1A1A2E"/>
          <w:sz w:val="28"/>
        </w:rPr>
        <w:t>4. Success Metrics — Expected Improvements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4.01 To successfully complete the PIP, you are required to achieve the following:</w:t>
      </w:r>
      <w:r>
        <w:rPr>
          <w:rFonts w:ascii="Open Sans" w:hAnsi="Open Sans" w:cs="Open Sans"/>
          <w:color w:val="59595B"/>
        </w:rPr>
      </w:r>
    </w:p>
    <w:tbl>
      <w:tblPr>
        <w:tblStyle w:val="LightGrid-Accent1"/>
        <w:tblW w:type="auto" w:w="0"/>
        <w:tblLook w:firstColumn="1" w:firstRow="1" w:lastColumn="0" w:lastRow="0" w:noHBand="0" w:noVBand="1" w:val="04A0"/>
      </w:tblPr>
      <w:tblGrid>
        <w:gridCol w:w="1632"/>
        <w:gridCol w:w="1632"/>
        <w:gridCol w:w="1632"/>
        <w:gridCol w:w="1632"/>
        <w:gridCol w:w="1632"/>
        <w:gridCol w:w="1632"/>
      </w:tblGrid>
      <w:tr>
        <w:tc>
          <w:tcPr>
            <w:tcW w:type="dxa" w:w="1632"/>
          </w:tcPr>
          <w:p>
            <w:r>
              <w:rPr>
                <w:rFonts w:ascii="Open Sans" w:hAnsi="Open Sans"/>
                <w:b/>
                <w:sz w:val="20"/>
              </w:rPr>
              <w:t>#</w:t>
            </w:r>
          </w:p>
        </w:tc>
        <w:tc>
          <w:tcPr>
            <w:tcW w:type="dxa" w:w="1632"/>
          </w:tcPr>
          <w:p>
            <w:r>
              <w:rPr>
                <w:rFonts w:ascii="Open Sans" w:hAnsi="Open Sans"/>
                <w:b/>
                <w:sz w:val="20"/>
              </w:rPr>
              <w:t>Area</w:t>
            </w:r>
          </w:p>
        </w:tc>
        <w:tc>
          <w:tcPr>
            <w:tcW w:type="dxa" w:w="1632"/>
          </w:tcPr>
          <w:p>
            <w:r>
              <w:rPr>
                <w:rFonts w:ascii="Open Sans" w:hAnsi="Open Sans"/>
                <w:b/>
                <w:sz w:val="20"/>
              </w:rPr>
              <w:t>Specific Success Criterion</w:t>
            </w:r>
          </w:p>
        </w:tc>
        <w:tc>
          <w:tcPr>
            <w:tcW w:type="dxa" w:w="1632"/>
          </w:tcPr>
          <w:p>
            <w:r>
              <w:rPr>
                <w:rFonts w:ascii="Open Sans" w:hAnsi="Open Sans"/>
                <w:b/>
                <w:sz w:val="20"/>
              </w:rPr>
              <w:t>Metric / Measure</w:t>
            </w:r>
          </w:p>
        </w:tc>
        <w:tc>
          <w:tcPr>
            <w:tcW w:type="dxa" w:w="1632"/>
          </w:tcPr>
          <w:p>
            <w:r>
              <w:rPr>
                <w:rFonts w:ascii="Open Sans" w:hAnsi="Open Sans"/>
                <w:b/>
                <w:sz w:val="20"/>
              </w:rPr>
              <w:t>Target</w:t>
            </w:r>
          </w:p>
        </w:tc>
        <w:tc>
          <w:tcPr>
            <w:tcW w:type="dxa" w:w="1632"/>
          </w:tcPr>
          <w:p>
            <w:r>
              <w:rPr>
                <w:rFonts w:ascii="Open Sans" w:hAnsi="Open Sans"/>
                <w:b/>
                <w:sz w:val="20"/>
              </w:rPr>
              <w:t>Review Point</w:t>
            </w:r>
          </w:p>
        </w:tc>
      </w:tr>
      <w:tr>
        <w:tc>
          <w:tcPr>
            <w:tcW w:type="dxa" w:w="1632"/>
          </w:tcPr>
          <w:p>
            <w:r>
              <w:rPr>
                <w:rFonts w:ascii="Open Sans" w:hAnsi="Open Sans"/>
                <w:sz w:val="20"/>
              </w:rPr>
              <w:t>1</w:t>
            </w:r>
          </w:p>
        </w:tc>
        <w:tc>
          <w:tcPr>
            <w:tcW w:type="dxa" w:w="1632"/>
          </w:tcPr>
          <w:p/>
        </w:tc>
        <w:tc>
          <w:tcPr>
            <w:tcW w:type="dxa" w:w="1632"/>
          </w:tcPr>
          <w:p/>
        </w:tc>
        <w:tc>
          <w:tcPr>
            <w:tcW w:type="dxa" w:w="1632"/>
          </w:tcPr>
          <w:p/>
        </w:tc>
        <w:tc>
          <w:tcPr>
            <w:tcW w:type="dxa" w:w="1632"/>
          </w:tcPr>
          <w:p/>
        </w:tc>
        <w:tc>
          <w:tcPr>
            <w:tcW w:type="dxa" w:w="1632"/>
          </w:tcPr>
          <w:p/>
        </w:tc>
      </w:tr>
      <w:tr>
        <w:tc>
          <w:tcPr>
            <w:tcW w:type="dxa" w:w="1632"/>
          </w:tcPr>
          <w:p>
            <w:r>
              <w:rPr>
                <w:rFonts w:ascii="Open Sans" w:hAnsi="Open Sans"/>
                <w:sz w:val="20"/>
              </w:rPr>
              <w:t>2</w:t>
            </w:r>
          </w:p>
        </w:tc>
        <w:tc>
          <w:tcPr>
            <w:tcW w:type="dxa" w:w="1632"/>
          </w:tcPr>
          <w:p/>
        </w:tc>
        <w:tc>
          <w:tcPr>
            <w:tcW w:type="dxa" w:w="1632"/>
          </w:tcPr>
          <w:p/>
        </w:tc>
        <w:tc>
          <w:tcPr>
            <w:tcW w:type="dxa" w:w="1632"/>
          </w:tcPr>
          <w:p/>
        </w:tc>
        <w:tc>
          <w:tcPr>
            <w:tcW w:type="dxa" w:w="1632"/>
          </w:tcPr>
          <w:p/>
        </w:tc>
        <w:tc>
          <w:tcPr>
            <w:tcW w:type="dxa" w:w="1632"/>
          </w:tcPr>
          <w:p/>
        </w:tc>
      </w:tr>
      <w:tr>
        <w:tc>
          <w:tcPr>
            <w:tcW w:type="dxa" w:w="1632"/>
          </w:tcPr>
          <w:p>
            <w:r>
              <w:rPr>
                <w:rFonts w:ascii="Open Sans" w:hAnsi="Open Sans"/>
                <w:sz w:val="20"/>
              </w:rPr>
              <w:t>3</w:t>
            </w:r>
          </w:p>
        </w:tc>
        <w:tc>
          <w:tcPr>
            <w:tcW w:type="dxa" w:w="1632"/>
          </w:tcPr>
          <w:p/>
        </w:tc>
        <w:tc>
          <w:tcPr>
            <w:tcW w:type="dxa" w:w="1632"/>
          </w:tcPr>
          <w:p/>
        </w:tc>
        <w:tc>
          <w:tcPr>
            <w:tcW w:type="dxa" w:w="1632"/>
          </w:tcPr>
          <w:p/>
        </w:tc>
        <w:tc>
          <w:tcPr>
            <w:tcW w:type="dxa" w:w="1632"/>
          </w:tcPr>
          <w:p/>
        </w:tc>
        <w:tc>
          <w:tcPr>
            <w:tcW w:type="dxa" w:w="1632"/>
          </w:tcPr>
          <w:p/>
        </w:tc>
      </w:tr>
    </w:tbl>
    <w:p>
      <w:r>
        <w:rPr>
          <w:rFonts w:ascii="Open Sans" w:hAnsi="Open Sans" w:cs="Open Sans"/>
          <w:color w:val="59595B"/>
        </w:rPr>
      </w:r>
    </w:p>
    <w:p>
      <w:pPr>
        <w:pStyle w:val="Heading2"/>
      </w:pPr>
      <w:r>
        <w:rPr>
          <w:rFonts w:ascii="Open Sans" w:hAnsi="Open Sans" w:cs="Open Sans"/>
          <w:b/>
          <w:color w:val="1A1A2E"/>
          <w:sz w:val="28"/>
        </w:rPr>
        <w:t>5. Review Cadence and Support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5.01 </w:t>
      </w:r>
      <w:r>
        <w:rPr>
          <w:rFonts w:ascii="Open Sans" w:hAnsi="Open Sans" w:cs="Open Sans"/>
          <w:b/>
          <w:color w:val="59595B"/>
        </w:rPr>
        <w:t>Weekly 1:1:</w:t>
      </w:r>
      <w:r>
        <w:rPr>
          <w:rFonts w:ascii="Open Sans" w:hAnsi="Open Sans" w:cs="Open Sans"/>
          <w:color w:val="59595B"/>
        </w:rPr>
        <w:t xml:space="preserve"> Your reporting manager will hold a structured weekly 1:1 with you throughout the PIP Period, documenting observations, coaching given, and progress against the metrics in Clause 4.</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5.02 </w:t>
      </w:r>
      <w:r>
        <w:rPr>
          <w:rFonts w:ascii="Open Sans" w:hAnsi="Open Sans" w:cs="Open Sans"/>
          <w:b/>
          <w:color w:val="59595B"/>
        </w:rPr>
        <w:t>Fortnightly HR check-in:</w:t>
      </w:r>
      <w:r>
        <w:rPr>
          <w:rFonts w:ascii="Open Sans" w:hAnsi="Open Sans" w:cs="Open Sans"/>
          <w:color w:val="59595B"/>
        </w:rPr>
        <w:t xml:space="preserve"> HR (Shelja Mehta, smehta@technijian.com) will meet you every two weeks to assess well-being, support needs, and PIP progress.</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5.03 </w:t>
      </w:r>
      <w:r>
        <w:rPr>
          <w:rFonts w:ascii="Open Sans" w:hAnsi="Open Sans" w:cs="Open Sans"/>
          <w:b/>
          <w:color w:val="59595B"/>
        </w:rPr>
        <w:t>Mid-point review:</w:t>
      </w:r>
      <w:r>
        <w:rPr>
          <w:rFonts w:ascii="Open Sans" w:hAnsi="Open Sans" w:cs="Open Sans"/>
          <w:color w:val="59595B"/>
        </w:rPr>
        <w:t xml:space="preserve"> A formal mid-point review shall be conducted on or before &lt;mid-date&gt;, with written minutes shared with you.</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5.04 </w:t>
      </w:r>
      <w:r>
        <w:rPr>
          <w:rFonts w:ascii="Open Sans" w:hAnsi="Open Sans" w:cs="Open Sans"/>
          <w:b/>
          <w:color w:val="59595B"/>
        </w:rPr>
        <w:t>Support from the Company:</w:t>
      </w:r>
      <w:r>
        <w:rPr>
          <w:rFonts w:ascii="Open Sans" w:hAnsi="Open Sans" w:cs="Open Sans"/>
          <w:color w:val="59595B"/>
        </w:rPr>
        <w:t xml:space="preserve"> &lt;enumerate — training, tools, mentor pairing, process documentation, etc.&gt;</w:t>
      </w:r>
      <w:r>
        <w:rPr>
          <w:rFonts w:ascii="Open Sans" w:hAnsi="Open Sans" w:cs="Open Sans"/>
          <w:color w:val="59595B"/>
        </w:rPr>
      </w:r>
    </w:p>
    <w:p>
      <w:pPr>
        <w:pStyle w:val="Heading2"/>
      </w:pPr>
      <w:r>
        <w:rPr>
          <w:rFonts w:ascii="Open Sans" w:hAnsi="Open Sans" w:cs="Open Sans"/>
          <w:b/>
          <w:color w:val="1A1A2E"/>
          <w:sz w:val="28"/>
        </w:rPr>
        <w:t>6. Outcomes at End of the PIP</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6.01 Based on the final review conducted on or before &lt;final review date&gt;, the Company shall take one of the following decisions:</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b/>
          <w:color w:val="59595B"/>
        </w:rPr>
        <w:t>Meets criteria</w:t>
      </w:r>
      <w:r>
        <w:rPr>
          <w:rFonts w:ascii="Open Sans" w:hAnsi="Open Sans" w:cs="Open Sans"/>
          <w:color w:val="59595B"/>
        </w:rPr>
        <w:t xml:space="preserve"> — The PIP will be formally closed and regular employment continues.</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b/>
          <w:color w:val="59595B"/>
        </w:rPr>
        <w:t>Partial progress</w:t>
      </w:r>
      <w:r>
        <w:rPr>
          <w:rFonts w:ascii="Open Sans" w:hAnsi="Open Sans" w:cs="Open Sans"/>
          <w:color w:val="59595B"/>
        </w:rPr>
        <w:t xml:space="preserve"> — The PIP may be </w:t>
      </w:r>
      <w:r>
        <w:rPr>
          <w:rFonts w:ascii="Open Sans" w:hAnsi="Open Sans" w:cs="Open Sans"/>
          <w:b/>
          <w:color w:val="59595B"/>
        </w:rPr>
        <w:t>extended once by up to thirty (30) days</w:t>
      </w:r>
      <w:r>
        <w:rPr>
          <w:rFonts w:ascii="Open Sans" w:hAnsi="Open Sans" w:cs="Open Sans"/>
          <w:color w:val="59595B"/>
        </w:rPr>
        <w:t xml:space="preserve"> at the Company's discretion, with revised success criteria.</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b/>
          <w:color w:val="59595B"/>
        </w:rPr>
        <w:t>Fails to meet criteria</w:t>
      </w:r>
      <w:r>
        <w:rPr>
          <w:rFonts w:ascii="Open Sans" w:hAnsi="Open Sans" w:cs="Open Sans"/>
          <w:color w:val="59595B"/>
        </w:rPr>
        <w:t xml:space="preserve"> — Your employment may be terminated with </w:t>
      </w:r>
      <w:r>
        <w:rPr>
          <w:rFonts w:ascii="Open Sans" w:hAnsi="Open Sans" w:cs="Open Sans"/>
          <w:b/>
          <w:color w:val="59595B"/>
        </w:rPr>
        <w:t>thirty (30) days</w:t>
      </w:r>
      <w:r>
        <w:rPr>
          <w:rFonts w:ascii="Open Sans" w:hAnsi="Open Sans" w:cs="Open Sans"/>
          <w:color w:val="59595B"/>
        </w:rPr>
        <w:t xml:space="preserve"> written notice, or salary in lieu thereof, as provided in your Appointment Letter / Confirmation Letter. Where applicable, the Company will follow the principles of natural justice and its disciplinary framework consistent with the Industrial Employment (Standing Orders) Act, 1946 (as applicable).</w:t>
      </w:r>
      <w:r>
        <w:rPr>
          <w:rFonts w:ascii="Open Sans" w:hAnsi="Open Sans" w:cs="Open Sans"/>
          <w:color w:val="59595B"/>
        </w:rPr>
      </w:r>
      <w:r>
        <w:rPr>
          <w:rFonts w:ascii="Open Sans" w:hAnsi="Open Sans" w:cs="Open Sans"/>
          <w:color w:val="59595B"/>
        </w:rPr>
      </w:r>
    </w:p>
    <w:p>
      <w:pPr>
        <w:pStyle w:val="Heading2"/>
      </w:pPr>
      <w:r>
        <w:rPr>
          <w:rFonts w:ascii="Open Sans" w:hAnsi="Open Sans" w:cs="Open Sans"/>
          <w:b/>
          <w:color w:val="1A1A2E"/>
          <w:sz w:val="28"/>
        </w:rPr>
        <w:t>7. Good Faith Participation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7.01 You are expected to engage with the PIP in good faith. Non-engagement, willful disregard of coaching, misrepresentation of progress, or unauthorized absence during the PIP Period will constitute misconduct and will be dealt with separately under the Company's disciplinary framework and the Employee Handbook, independent of the PIP outcome.</w:t>
      </w:r>
      <w:r>
        <w:rPr>
          <w:rFonts w:ascii="Open Sans" w:hAnsi="Open Sans" w:cs="Open Sans"/>
          <w:color w:val="59595B"/>
        </w:rPr>
      </w:r>
    </w:p>
    <w:p>
      <w:pPr>
        <w:pStyle w:val="Heading2"/>
      </w:pPr>
      <w:r>
        <w:rPr>
          <w:rFonts w:ascii="Open Sans" w:hAnsi="Open Sans" w:cs="Open Sans"/>
          <w:b/>
          <w:color w:val="1A1A2E"/>
          <w:sz w:val="28"/>
        </w:rPr>
        <w:t>8. Confidentiality</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8.01 The contents of this PIP are confidential. Circulation is limited to the employee, reporting manager, second-level reviewer, HR and Director. No disclosure is permitted to other employees or any third party.</w:t>
      </w:r>
      <w:r>
        <w:rPr>
          <w:rFonts w:ascii="Open Sans" w:hAnsi="Open Sans" w:cs="Open Sans"/>
          <w:color w:val="59595B"/>
        </w:rPr>
      </w:r>
    </w:p>
    <w:p>
      <w:pPr>
        <w:pStyle w:val="Heading2"/>
      </w:pPr>
      <w:r>
        <w:rPr>
          <w:rFonts w:ascii="Open Sans" w:hAnsi="Open Sans" w:cs="Open Sans"/>
          <w:b/>
          <w:color w:val="1A1A2E"/>
          <w:sz w:val="28"/>
        </w:rPr>
        <w:t>9. Continuation of Other Terms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9.01 All other terms and conditions of your Appointment Letter / Confirmation Letter, the Employee Handbook, Code of Conduct and POSH Act, 2013 Policy continue to apply and remain binding during the PIP Period.</w:t>
      </w:r>
      <w:r>
        <w:rPr>
          <w:rFonts w:ascii="Open Sans" w:hAnsi="Open Sans" w:cs="Open Sans"/>
          <w:color w:val="59595B"/>
        </w:rPr>
      </w:r>
    </w:p>
    <w:p>
      <w:pPr>
        <w:pStyle w:val="Heading2"/>
      </w:pPr>
      <w:r>
        <w:rPr>
          <w:rFonts w:ascii="Open Sans" w:hAnsi="Open Sans" w:cs="Open Sans"/>
          <w:b/>
          <w:color w:val="1A1A2E"/>
          <w:sz w:val="28"/>
        </w:rPr>
        <w:t>10. Acknowledgement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10.01 Please sign the duplicate copy of this letter as a token of your acknowledgement. Your signature does not denote agreement with the performance assessment; it denotes receipt and understanding of the PIP and its terms.</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For and on behalf of </w:t>
      </w:r>
      <w:r>
        <w:rPr>
          <w:rFonts w:ascii="Open Sans" w:hAnsi="Open Sans" w:cs="Open Sans"/>
          <w:b/>
          <w:color w:val="59595B"/>
        </w:rPr>
        <w:t>Technijian IT Services Pvt. Ltd.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Ravi Jain</w:t>
        <w:br/>
      </w:r>
      <w:r>
        <w:rPr>
          <w:rFonts w:ascii="Open Sans" w:hAnsi="Open Sans" w:cs="Open Sans"/>
          <w:color w:val="59595B"/>
        </w:rPr>
        <w:t>Director</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Acknowledged:</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br/>
      </w:r>
      <w:r>
        <w:rPr>
          <w:rFonts w:ascii="Open Sans" w:hAnsi="Open Sans" w:cs="Open Sans"/>
          <w:b/>
          <w:i/>
          <w:color w:val="59595B"/>
        </w:rPr>
        <w:t xml:space="preserve">Name: &lt;Employee Name&gt; Emp ID: &lt;Emp ID&gt; Date: </w:t>
      </w:r>
      <w:r>
        <w:rPr>
          <w:rFonts w:ascii="Open Sans" w:hAnsi="Open Sans" w:cs="Open Sans"/>
          <w:b/>
          <w:i/>
          <w:color w:val="59595B"/>
        </w:rPr>
        <w:t>_</w:t>
      </w:r>
      <w:r>
        <w:rPr>
          <w:rFonts w:ascii="Open Sans" w:hAnsi="Open Sans" w:cs="Open Sans"/>
          <w:color w:val="59595B"/>
        </w:rPr>
        <w:t xml:space="preserve"> Place: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Copy to:</w:t>
      </w:r>
      <w:r>
        <w:rPr>
          <w:rFonts w:ascii="Open Sans" w:hAnsi="Open Sans" w:cs="Open Sans"/>
          <w:color w:val="59595B"/>
        </w:rPr>
        <w:t xml:space="preserve"> Reporting Manager, Second-level Reviewer, HR File (Shelja Mehta, smehta@technijian.com)</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