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Open Sans" w:hAnsi="Open Sans" w:cs="Open Sans"/>
          <w:b/>
          <w:color w:val="006DB6"/>
          <w:sz w:val="36"/>
        </w:rPr>
        <w:t>Performance Review Form — India</w:t>
      </w:r>
      <w:r>
        <w:rPr>
          <w:rFonts w:ascii="Open Sans" w:hAnsi="Open Sans" w:cs="Open Sans"/>
          <w:b/>
          <w:color w:val="006DB6"/>
          <w:sz w:val="36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Review Cycle:</w:t>
      </w:r>
      <w:r>
        <w:rPr>
          <w:rFonts w:ascii="Open Sans" w:hAnsi="Open Sans" w:cs="Open Sans"/>
          <w:color w:val="59595B"/>
        </w:rPr>
        <w:t xml:space="preserve"> [ ] Probation Confirmation [ ] Mid-Year [ ] Annual [ ] PIP Closure [ ] Other: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A. Employee and Review Details</w:t>
      </w:r>
      <w:r>
        <w:rPr>
          <w:rFonts w:ascii="Open Sans" w:hAnsi="Open Sans" w:cs="Open Sans"/>
          <w:b/>
          <w:color w:val="1A1A2E"/>
          <w:sz w:val="2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Field</w:t>
            </w:r>
          </w:p>
        </w:tc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Detail</w:t>
            </w:r>
          </w:p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Employee Name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Employee ID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Designation / Grade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Department / Function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Date of Joining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Reporting Manager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Second-level Reviewer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Work Location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Review Period (From — To)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Date of Review Discussion</w:t>
            </w:r>
          </w:p>
        </w:tc>
        <w:tc>
          <w:tcPr>
            <w:tcW w:type="dxa" w:w="4896"/>
          </w:tcPr>
          <w:p/>
        </w:tc>
      </w:tr>
    </w:tbl>
    <w:p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B. Goals and Deliverables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List the goals set at the start of the review period (or from Job Description), with weights summing to 100%.</w:t>
      </w:r>
      <w:r>
        <w:rPr>
          <w:rFonts w:ascii="Open Sans" w:hAnsi="Open Sans" w:cs="Open Sans"/>
          <w:color w:val="59595B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>
              <w:rPr>
                <w:rFonts w:ascii="Open Sans" w:hAnsi="Open Sans"/>
                <w:b/>
                <w:sz w:val="20"/>
              </w:rPr>
              <w:t>#</w:t>
            </w:r>
          </w:p>
        </w:tc>
        <w:tc>
          <w:tcPr>
            <w:tcW w:type="dxa" w:w="1399"/>
          </w:tcPr>
          <w:p>
            <w:r>
              <w:rPr>
                <w:rFonts w:ascii="Open Sans" w:hAnsi="Open Sans"/>
                <w:b/>
                <w:sz w:val="20"/>
              </w:rPr>
              <w:t>Goal / KRA</w:t>
            </w:r>
          </w:p>
        </w:tc>
        <w:tc>
          <w:tcPr>
            <w:tcW w:type="dxa" w:w="1399"/>
          </w:tcPr>
          <w:p>
            <w:r>
              <w:rPr>
                <w:rFonts w:ascii="Open Sans" w:hAnsi="Open Sans"/>
                <w:b/>
                <w:sz w:val="20"/>
              </w:rPr>
              <w:t>Weight (%)</w:t>
            </w:r>
          </w:p>
        </w:tc>
        <w:tc>
          <w:tcPr>
            <w:tcW w:type="dxa" w:w="1399"/>
          </w:tcPr>
          <w:p>
            <w:r>
              <w:rPr>
                <w:rFonts w:ascii="Open Sans" w:hAnsi="Open Sans"/>
                <w:b/>
                <w:sz w:val="20"/>
              </w:rPr>
              <w:t>Target</w:t>
            </w:r>
          </w:p>
        </w:tc>
        <w:tc>
          <w:tcPr>
            <w:tcW w:type="dxa" w:w="1399"/>
          </w:tcPr>
          <w:p>
            <w:r>
              <w:rPr>
                <w:rFonts w:ascii="Open Sans" w:hAnsi="Open Sans"/>
                <w:b/>
                <w:sz w:val="20"/>
              </w:rPr>
              <w:t>Actual Outcome</w:t>
            </w:r>
          </w:p>
        </w:tc>
        <w:tc>
          <w:tcPr>
            <w:tcW w:type="dxa" w:w="1399"/>
          </w:tcPr>
          <w:p>
            <w:r>
              <w:rPr>
                <w:rFonts w:ascii="Open Sans" w:hAnsi="Open Sans"/>
                <w:b/>
                <w:sz w:val="20"/>
              </w:rPr>
              <w:t>Rating (1-5)</w:t>
            </w:r>
          </w:p>
        </w:tc>
        <w:tc>
          <w:tcPr>
            <w:tcW w:type="dxa" w:w="1399"/>
          </w:tcPr>
          <w:p>
            <w:r>
              <w:rPr>
                <w:rFonts w:ascii="Open Sans" w:hAnsi="Open Sans"/>
                <w:b/>
                <w:sz w:val="20"/>
              </w:rPr>
              <w:t>Weighted Score</w:t>
            </w:r>
          </w:p>
        </w:tc>
      </w:tr>
      <w:tr>
        <w:tc>
          <w:tcPr>
            <w:tcW w:type="dxa" w:w="1399"/>
          </w:tcPr>
          <w:p>
            <w:r>
              <w:rPr>
                <w:rFonts w:ascii="Open Sans" w:hAnsi="Open Sans"/>
                <w:sz w:val="20"/>
              </w:rPr>
              <w:t>1</w:t>
            </w:r>
          </w:p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</w:tr>
      <w:tr>
        <w:tc>
          <w:tcPr>
            <w:tcW w:type="dxa" w:w="1399"/>
          </w:tcPr>
          <w:p>
            <w:r>
              <w:rPr>
                <w:rFonts w:ascii="Open Sans" w:hAnsi="Open Sans"/>
                <w:sz w:val="20"/>
              </w:rPr>
              <w:t>2</w:t>
            </w:r>
          </w:p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</w:tr>
      <w:tr>
        <w:tc>
          <w:tcPr>
            <w:tcW w:type="dxa" w:w="1399"/>
          </w:tcPr>
          <w:p>
            <w:r>
              <w:rPr>
                <w:rFonts w:ascii="Open Sans" w:hAnsi="Open Sans"/>
                <w:sz w:val="20"/>
              </w:rPr>
              <w:t>3</w:t>
            </w:r>
          </w:p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</w:tr>
      <w:tr>
        <w:tc>
          <w:tcPr>
            <w:tcW w:type="dxa" w:w="1399"/>
          </w:tcPr>
          <w:p>
            <w:r>
              <w:rPr>
                <w:rFonts w:ascii="Open Sans" w:hAnsi="Open Sans"/>
                <w:sz w:val="20"/>
              </w:rPr>
              <w:t>4</w:t>
            </w:r>
          </w:p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</w:tr>
      <w:tr>
        <w:tc>
          <w:tcPr>
            <w:tcW w:type="dxa" w:w="1399"/>
          </w:tcPr>
          <w:p>
            <w:r>
              <w:rPr>
                <w:rFonts w:ascii="Open Sans" w:hAnsi="Open Sans"/>
                <w:sz w:val="20"/>
              </w:rPr>
              <w:t>5</w:t>
            </w:r>
          </w:p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</w:tr>
      <w:tr>
        <w:tc>
          <w:tcPr>
            <w:tcW w:type="dxa" w:w="1399"/>
          </w:tcPr>
          <w:p/>
        </w:tc>
        <w:tc>
          <w:tcPr>
            <w:tcW w:type="dxa" w:w="1399"/>
          </w:tcPr>
          <w:p>
            <w:r>
              <w:rPr>
                <w:rFonts w:ascii="Open Sans" w:hAnsi="Open Sans"/>
                <w:b/>
                <w:sz w:val="20"/>
              </w:rPr>
              <w:t>Total</w:t>
            </w:r>
          </w:p>
        </w:tc>
        <w:tc>
          <w:tcPr>
            <w:tcW w:type="dxa" w:w="1399"/>
          </w:tcPr>
          <w:p>
            <w:r>
              <w:rPr>
                <w:rFonts w:ascii="Open Sans" w:hAnsi="Open Sans"/>
                <w:b/>
                <w:sz w:val="20"/>
              </w:rPr>
              <w:t>100</w:t>
            </w:r>
          </w:p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  <w:tc>
          <w:tcPr>
            <w:tcW w:type="dxa" w:w="1399"/>
          </w:tcPr>
          <w:p/>
        </w:tc>
      </w:tr>
    </w:tbl>
    <w:p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C. Competency Assessment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Rate on a 1-5 scale: </w:t>
      </w:r>
      <w:r>
        <w:rPr>
          <w:rFonts w:ascii="Open Sans" w:hAnsi="Open Sans" w:cs="Open Sans"/>
          <w:b/>
          <w:color w:val="59595B"/>
        </w:rPr>
        <w:t>1</w:t>
      </w:r>
      <w:r>
        <w:rPr>
          <w:rFonts w:ascii="Open Sans" w:hAnsi="Open Sans" w:cs="Open Sans"/>
          <w:color w:val="59595B"/>
        </w:rPr>
        <w:t xml:space="preserve"> Needs Improvement | </w:t>
      </w:r>
      <w:r>
        <w:rPr>
          <w:rFonts w:ascii="Open Sans" w:hAnsi="Open Sans" w:cs="Open Sans"/>
          <w:b/>
          <w:color w:val="59595B"/>
        </w:rPr>
        <w:t>2</w:t>
      </w:r>
      <w:r>
        <w:rPr>
          <w:rFonts w:ascii="Open Sans" w:hAnsi="Open Sans" w:cs="Open Sans"/>
          <w:color w:val="59595B"/>
        </w:rPr>
        <w:t xml:space="preserve"> Developing | </w:t>
      </w:r>
      <w:r>
        <w:rPr>
          <w:rFonts w:ascii="Open Sans" w:hAnsi="Open Sans" w:cs="Open Sans"/>
          <w:b/>
          <w:color w:val="59595B"/>
        </w:rPr>
        <w:t>3</w:t>
      </w:r>
      <w:r>
        <w:rPr>
          <w:rFonts w:ascii="Open Sans" w:hAnsi="Open Sans" w:cs="Open Sans"/>
          <w:color w:val="59595B"/>
        </w:rPr>
        <w:t xml:space="preserve"> Meets | </w:t>
      </w:r>
      <w:r>
        <w:rPr>
          <w:rFonts w:ascii="Open Sans" w:hAnsi="Open Sans" w:cs="Open Sans"/>
          <w:b/>
          <w:color w:val="59595B"/>
        </w:rPr>
        <w:t>4</w:t>
      </w:r>
      <w:r>
        <w:rPr>
          <w:rFonts w:ascii="Open Sans" w:hAnsi="Open Sans" w:cs="Open Sans"/>
          <w:color w:val="59595B"/>
        </w:rPr>
        <w:t xml:space="preserve"> Exceeds | </w:t>
      </w:r>
      <w:r>
        <w:rPr>
          <w:rFonts w:ascii="Open Sans" w:hAnsi="Open Sans" w:cs="Open Sans"/>
          <w:b/>
          <w:color w:val="59595B"/>
        </w:rPr>
        <w:t>5</w:t>
      </w:r>
      <w:r>
        <w:rPr>
          <w:rFonts w:ascii="Open Sans" w:hAnsi="Open Sans" w:cs="Open Sans"/>
          <w:color w:val="59595B"/>
        </w:rPr>
        <w:t xml:space="preserve"> Exceptional.</w:t>
      </w:r>
      <w:r>
        <w:rPr>
          <w:rFonts w:ascii="Open Sans" w:hAnsi="Open Sans" w:cs="Open Sans"/>
          <w:color w:val="59595B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#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Competency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Rating (1-5)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Comments / Evidence</w:t>
            </w:r>
          </w:p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Technical / Functional competence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Delivery, quality and timeliness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Problem-solving and ownership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Communication (written and verbal)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Collaboration and teamwork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6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Client focus and service orientation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7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Attendance, punctuality and discipline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8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Compliance (security, data protection, POSH, Code of Conduct)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9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Leadership / People management (if applicable)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10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Learning and development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Average Competency Rating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</w:tbl>
    <w:p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D. Overall Performance Rating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Select one: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1 — </w:t>
      </w:r>
      <w:r>
        <w:rPr>
          <w:rFonts w:ascii="Open Sans" w:hAnsi="Open Sans" w:cs="Open Sans"/>
          <w:b/>
          <w:color w:val="59595B"/>
        </w:rPr>
        <w:t>Below Expectations</w:t>
      </w:r>
      <w:r>
        <w:rPr>
          <w:rFonts w:ascii="Open Sans" w:hAnsi="Open Sans" w:cs="Open Sans"/>
          <w:color w:val="59595B"/>
        </w:rPr>
        <w:t xml:space="preserve"> (PIP recommended)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2 — </w:t>
      </w:r>
      <w:r>
        <w:rPr>
          <w:rFonts w:ascii="Open Sans" w:hAnsi="Open Sans" w:cs="Open Sans"/>
          <w:b/>
          <w:color w:val="59595B"/>
        </w:rPr>
        <w:t>Partially Meets</w:t>
      </w:r>
      <w:r>
        <w:rPr>
          <w:rFonts w:ascii="Open Sans" w:hAnsi="Open Sans" w:cs="Open Sans"/>
          <w:color w:val="59595B"/>
        </w:rPr>
        <w:t xml:space="preserve"> (watch list; coaching required)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3 — </w:t>
      </w:r>
      <w:r>
        <w:rPr>
          <w:rFonts w:ascii="Open Sans" w:hAnsi="Open Sans" w:cs="Open Sans"/>
          <w:b/>
          <w:color w:val="59595B"/>
        </w:rPr>
        <w:t>Meets Expectations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4 — </w:t>
      </w:r>
      <w:r>
        <w:rPr>
          <w:rFonts w:ascii="Open Sans" w:hAnsi="Open Sans" w:cs="Open Sans"/>
          <w:b/>
          <w:color w:val="59595B"/>
        </w:rPr>
        <w:t>Exceeds Expectations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5 — </w:t>
      </w:r>
      <w:r>
        <w:rPr>
          <w:rFonts w:ascii="Open Sans" w:hAnsi="Open Sans" w:cs="Open Sans"/>
          <w:b/>
          <w:color w:val="59595B"/>
        </w:rPr>
        <w:t>Exceptional / Role Model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Overall Score:</w:t>
      </w:r>
      <w:r>
        <w:rPr>
          <w:rFonts w:ascii="Open Sans" w:hAnsi="Open Sans" w:cs="Open Sans"/>
          <w:color w:val="59595B"/>
        </w:rPr>
        <w:t xml:space="preserve"> _____ / 5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E. Strengths (Top 3)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1.</w:t>
        <w:br/>
      </w:r>
      <w:r>
        <w:rPr>
          <w:rFonts w:ascii="Open Sans" w:hAnsi="Open Sans" w:cs="Open Sans"/>
          <w:color w:val="59595B"/>
        </w:rPr>
        <w:t>2.</w:t>
        <w:br/>
      </w:r>
      <w:r>
        <w:rPr>
          <w:rFonts w:ascii="Open Sans" w:hAnsi="Open Sans" w:cs="Open Sans"/>
          <w:color w:val="59595B"/>
        </w:rPr>
        <w:t>3.</w:t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F. Areas for Development (Top 3)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1.</w:t>
        <w:br/>
      </w:r>
      <w:r>
        <w:rPr>
          <w:rFonts w:ascii="Open Sans" w:hAnsi="Open Sans" w:cs="Open Sans"/>
          <w:color w:val="59595B"/>
        </w:rPr>
        <w:t>2.</w:t>
        <w:br/>
      </w:r>
      <w:r>
        <w:rPr>
          <w:rFonts w:ascii="Open Sans" w:hAnsi="Open Sans" w:cs="Open Sans"/>
          <w:color w:val="59595B"/>
        </w:rPr>
        <w:t>3.</w:t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G. Goals for Next Review Period</w:t>
      </w:r>
      <w:r>
        <w:rPr>
          <w:rFonts w:ascii="Open Sans" w:hAnsi="Open Sans" w:cs="Open Sans"/>
          <w:b/>
          <w:color w:val="1A1A2E"/>
          <w:sz w:val="2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rFonts w:ascii="Open Sans" w:hAnsi="Open Sans"/>
                <w:b/>
                <w:sz w:val="20"/>
              </w:rPr>
              <w:t>#</w:t>
            </w:r>
          </w:p>
        </w:tc>
        <w:tc>
          <w:tcPr>
            <w:tcW w:type="dxa" w:w="1958"/>
          </w:tcPr>
          <w:p>
            <w:r>
              <w:rPr>
                <w:rFonts w:ascii="Open Sans" w:hAnsi="Open Sans"/>
                <w:b/>
                <w:sz w:val="20"/>
              </w:rPr>
              <w:t>Goal / KRA</w:t>
            </w:r>
          </w:p>
        </w:tc>
        <w:tc>
          <w:tcPr>
            <w:tcW w:type="dxa" w:w="1958"/>
          </w:tcPr>
          <w:p>
            <w:r>
              <w:rPr>
                <w:rFonts w:ascii="Open Sans" w:hAnsi="Open Sans"/>
                <w:b/>
                <w:sz w:val="20"/>
              </w:rPr>
              <w:t>Weight (%)</w:t>
            </w:r>
          </w:p>
        </w:tc>
        <w:tc>
          <w:tcPr>
            <w:tcW w:type="dxa" w:w="1958"/>
          </w:tcPr>
          <w:p>
            <w:r>
              <w:rPr>
                <w:rFonts w:ascii="Open Sans" w:hAnsi="Open Sans"/>
                <w:b/>
                <w:sz w:val="20"/>
              </w:rPr>
              <w:t>Measure of Success</w:t>
            </w:r>
          </w:p>
        </w:tc>
        <w:tc>
          <w:tcPr>
            <w:tcW w:type="dxa" w:w="1958"/>
          </w:tcPr>
          <w:p>
            <w:r>
              <w:rPr>
                <w:rFonts w:ascii="Open Sans" w:hAnsi="Open Sans"/>
                <w:b/>
                <w:sz w:val="20"/>
              </w:rPr>
              <w:t>Review Date</w:t>
            </w:r>
          </w:p>
        </w:tc>
      </w:tr>
      <w:tr>
        <w:tc>
          <w:tcPr>
            <w:tcW w:type="dxa" w:w="1958"/>
          </w:tcPr>
          <w:p>
            <w:r>
              <w:rPr>
                <w:rFonts w:ascii="Open Sans" w:hAnsi="Open Sans"/>
                <w:sz w:val="20"/>
              </w:rPr>
              <w:t>1</w:t>
            </w:r>
          </w:p>
        </w:tc>
        <w:tc>
          <w:tcPr>
            <w:tcW w:type="dxa" w:w="1958"/>
          </w:tcPr>
          <w:p/>
        </w:tc>
        <w:tc>
          <w:tcPr>
            <w:tcW w:type="dxa" w:w="1958"/>
          </w:tcPr>
          <w:p/>
        </w:tc>
        <w:tc>
          <w:tcPr>
            <w:tcW w:type="dxa" w:w="1958"/>
          </w:tcPr>
          <w:p/>
        </w:tc>
        <w:tc>
          <w:tcPr>
            <w:tcW w:type="dxa" w:w="1958"/>
          </w:tcPr>
          <w:p/>
        </w:tc>
      </w:tr>
      <w:tr>
        <w:tc>
          <w:tcPr>
            <w:tcW w:type="dxa" w:w="1958"/>
          </w:tcPr>
          <w:p>
            <w:r>
              <w:rPr>
                <w:rFonts w:ascii="Open Sans" w:hAnsi="Open Sans"/>
                <w:sz w:val="20"/>
              </w:rPr>
              <w:t>2</w:t>
            </w:r>
          </w:p>
        </w:tc>
        <w:tc>
          <w:tcPr>
            <w:tcW w:type="dxa" w:w="1958"/>
          </w:tcPr>
          <w:p/>
        </w:tc>
        <w:tc>
          <w:tcPr>
            <w:tcW w:type="dxa" w:w="1958"/>
          </w:tcPr>
          <w:p/>
        </w:tc>
        <w:tc>
          <w:tcPr>
            <w:tcW w:type="dxa" w:w="1958"/>
          </w:tcPr>
          <w:p/>
        </w:tc>
        <w:tc>
          <w:tcPr>
            <w:tcW w:type="dxa" w:w="1958"/>
          </w:tcPr>
          <w:p/>
        </w:tc>
      </w:tr>
      <w:tr>
        <w:tc>
          <w:tcPr>
            <w:tcW w:type="dxa" w:w="1958"/>
          </w:tcPr>
          <w:p>
            <w:r>
              <w:rPr>
                <w:rFonts w:ascii="Open Sans" w:hAnsi="Open Sans"/>
                <w:sz w:val="20"/>
              </w:rPr>
              <w:t>3</w:t>
            </w:r>
          </w:p>
        </w:tc>
        <w:tc>
          <w:tcPr>
            <w:tcW w:type="dxa" w:w="1958"/>
          </w:tcPr>
          <w:p/>
        </w:tc>
        <w:tc>
          <w:tcPr>
            <w:tcW w:type="dxa" w:w="1958"/>
          </w:tcPr>
          <w:p/>
        </w:tc>
        <w:tc>
          <w:tcPr>
            <w:tcW w:type="dxa" w:w="1958"/>
          </w:tcPr>
          <w:p/>
        </w:tc>
        <w:tc>
          <w:tcPr>
            <w:tcW w:type="dxa" w:w="1958"/>
          </w:tcPr>
          <w:p/>
        </w:tc>
      </w:tr>
    </w:tbl>
    <w:p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H. Training, Mentoring or Tooling Support Required</w:t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-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-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I. Employee Comments / Self-Assessment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(Use reverse side or attach separate note if needed.)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J. Manager Recommendation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Confirm</w:t>
      </w:r>
      <w:r>
        <w:rPr>
          <w:rFonts w:ascii="Open Sans" w:hAnsi="Open Sans" w:cs="Open Sans"/>
          <w:color w:val="59595B"/>
        </w:rPr>
        <w:t xml:space="preserve"> (end of probation)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Extend probation</w:t>
      </w:r>
      <w:r>
        <w:rPr>
          <w:rFonts w:ascii="Open Sans" w:hAnsi="Open Sans" w:cs="Open Sans"/>
          <w:color w:val="59595B"/>
        </w:rPr>
        <w:t xml:space="preserve"> by 3 months (maximum; issue Probation Extension Letter)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Increment</w:t>
      </w:r>
      <w:r>
        <w:rPr>
          <w:rFonts w:ascii="Open Sans" w:hAnsi="Open Sans" w:cs="Open Sans"/>
          <w:color w:val="59595B"/>
        </w:rPr>
        <w:t xml:space="preserve"> of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color w:val="59595B"/>
        </w:rPr>
        <w:t xml:space="preserve"> % with effect from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  <w:t>_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Promotion</w:t>
      </w:r>
      <w:r>
        <w:rPr>
          <w:rFonts w:ascii="Open Sans" w:hAnsi="Open Sans" w:cs="Open Sans"/>
          <w:color w:val="59595B"/>
        </w:rPr>
        <w:t xml:space="preserve"> to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 xml:space="preserve"> with effect from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Retain</w:t>
      </w:r>
      <w:r>
        <w:rPr>
          <w:rFonts w:ascii="Open Sans" w:hAnsi="Open Sans" w:cs="Open Sans"/>
          <w:color w:val="59595B"/>
        </w:rPr>
        <w:t xml:space="preserve"> in current role; no change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Performance Improvement Plan (PIP)</w:t>
      </w:r>
      <w:r>
        <w:rPr>
          <w:rFonts w:ascii="Open Sans" w:hAnsi="Open Sans" w:cs="Open Sans"/>
          <w:color w:val="59595B"/>
        </w:rPr>
        <w:t xml:space="preserve"> — 60 / 90 days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Separation</w:t>
      </w:r>
      <w:r>
        <w:rPr>
          <w:rFonts w:ascii="Open Sans" w:hAnsi="Open Sans" w:cs="Open Sans"/>
          <w:color w:val="59595B"/>
        </w:rPr>
        <w:t xml:space="preserve"> — initiate as per Appointment Letter notice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Recommended variable payout:</w:t>
      </w:r>
      <w:r>
        <w:rPr>
          <w:rFonts w:ascii="Open Sans" w:hAnsi="Open Sans" w:cs="Open Sans"/>
          <w:color w:val="59595B"/>
        </w:rPr>
        <w:t xml:space="preserve"> ______ % of target (if applicable)</w:t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K. Second-level Reviewer Comments</w:t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L. HR Review and Moderation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Calibration completed: [ ] Yes / [ ] No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Moderated rating (if changed): _____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HR Remarks: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M. Signatures</w:t>
      </w:r>
      <w:r>
        <w:rPr>
          <w:rFonts w:ascii="Open Sans" w:hAnsi="Open Sans" w:cs="Open Sans"/>
          <w:b/>
          <w:color w:val="1A1A2E"/>
          <w:sz w:val="2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Role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Name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Signature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Date</w:t>
            </w:r>
          </w:p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Employee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Reporting Manager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Second-level Reviewer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HR (Shelja Mehta, smehta@technijian.com)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</w:tbl>
    <w:p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Confidentiality:</w:t>
      </w:r>
      <w:r>
        <w:rPr>
          <w:rFonts w:ascii="Open Sans" w:hAnsi="Open Sans" w:cs="Open Sans"/>
          <w:color w:val="59595B"/>
        </w:rPr>
        <w:t xml:space="preserve"> This form is confidential. Ratings and comments may be shared with the employee; wider circulation is limited to Reporting Manager, Second-level Reviewer, HR and Director. No discussion of ratings or compensation on any public forum.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872" w:right="1224" w:bottom="144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10" w:type="dxa"/>
            <w:right w:w="0" w:type="dxa"/>
            <w:bottom w:w="10" w:type="dxa"/>
            <w:left w:w="0" w:type="dxa"/>
          </w:tcMar>
          <w:shd w:val="clear" w:color="auto" w:fill="006DB6"/>
        </w:tcPr>
        <w:p>
          <w:pPr>
            <w:spacing w:before="0" w:after="0"/>
          </w:pPr>
        </w:p>
      </w:tc>
    </w:tr>
  </w:tbl>
  <w:p>
    <w:pPr>
      <w:spacing w:before="80" w:after="0"/>
      <w:jc w:val="center"/>
    </w:pPr>
    <w:r>
      <w:rPr>
        <w:rFonts w:ascii="Open Sans" w:hAnsi="Open Sans" w:cs="Open Sans"/>
        <w:b w:val="0"/>
        <w:color w:val="59595B"/>
        <w:sz w:val="16"/>
      </w:rPr>
      <w:t>Technijian  |  Managed IT  •  Cybersecurity  •  Cloud  •  AI Development</w:t>
    </w:r>
  </w:p>
  <w:p>
    <w:pPr>
      <w:spacing w:before="0" w:after="0"/>
      <w:jc w:val="center"/>
    </w:pPr>
    <w:r>
      <w:rPr>
        <w:rFonts w:ascii="Open Sans" w:hAnsi="Open Sans" w:cs="Open Sans"/>
        <w:b w:val="0"/>
        <w:color w:val="E9ECEF"/>
        <w:sz w:val="14"/>
      </w:rPr>
      <w:t>Confidential — Internal HR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68"/>
      <w:gridCol w:w="6192"/>
    </w:tblGrid>
    <w:tr>
      <w:tc>
        <w:tcPr>
          <w:tcW w:type="dxa" w:w="3168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37360" cy="36195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nijian-logo-full-color-600x125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60" cy="3619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92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Open Sans" w:hAnsi="Open Sans" w:cs="Open Sans"/>
              <w:b/>
              <w:color w:val="1A1A2E"/>
              <w:sz w:val="18"/>
            </w:rPr>
            <w:t>Technijian IT Services Pvt. Ltd.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Plot No. 07, 1st Floor, Panchkula IT Park, Panchkula, Haryana 134109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hr-india@technijian.com</w:t>
          </w:r>
          <w:r>
            <w:rPr>
              <w:rFonts w:ascii="Open Sans" w:hAnsi="Open Sans" w:cs="Open Sans"/>
              <w:b w:val="0"/>
              <w:color w:val="E9ECEF"/>
              <w:sz w:val="16"/>
            </w:rPr>
            <w:t xml:space="preserve">   |   </w:t>
          </w:r>
          <w:r>
            <w:rPr>
              <w:rFonts w:ascii="Open Sans" w:hAnsi="Open Sans" w:cs="Open Sans"/>
              <w:b w:val="0"/>
              <w:color w:val="006DB6"/>
              <w:sz w:val="16"/>
            </w:rPr>
            <w:t>technijian.com</w:t>
          </w: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20" w:type="dxa"/>
            <w:right w:w="0" w:type="dxa"/>
            <w:bottom w:w="20" w:type="dxa"/>
            <w:left w:w="0" w:type="dxa"/>
          </w:tcMar>
          <w:shd w:val="clear" w:color="auto" w:fill="F67D4B"/>
        </w:tcPr>
        <w:p>
          <w:pPr>
            <w:spacing w:before="0" w:after="0"/>
          </w:pPr>
        </w:p>
      </w:tc>
    </w:tr>
  </w:tbl>
  <w:p>
    <w:pPr>
      <w:spacing w:before="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 w:cs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006D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Open Sans" w:hAnsi="Open Sans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