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s="Open Sans"/>
          <w:b/>
          <w:color w:val="006DB6"/>
          <w:sz w:val="36"/>
        </w:rPr>
        <w:t>Extension of Probation</w:t>
      </w:r>
      <w:r>
        <w:rPr>
          <w:rFonts w:ascii="Open Sans" w:hAnsi="Open Sans" w:cs="Open Sans"/>
          <w:b/>
          <w:color w:val="006DB6"/>
          <w:sz w:val="36"/>
        </w:rPr>
      </w:r>
    </w:p>
    <w:p>
      <w:r>
        <w:rPr>
          <w:rFonts w:ascii="Open Sans" w:hAnsi="Open Sans" w:cs="Open Sans"/>
          <w:color w:val="59595B"/>
        </w:rPr>
      </w:r>
      <w:r>
        <w:rPr>
          <w:rFonts w:ascii="Open Sans" w:hAnsi="Open Sans" w:cs="Open Sans"/>
          <w:b/>
          <w:color w:val="59595B"/>
        </w:rPr>
        <w:t>Date:</w:t>
      </w:r>
      <w:r>
        <w:rPr>
          <w:rFonts w:ascii="Open Sans" w:hAnsi="Open Sans" w:cs="Open Sans"/>
          <w:color w:val="59595B"/>
        </w:rPr>
        <w:t xml:space="preserve"> </w:t>
      </w:r>
      <w:r>
        <w:rPr>
          <w:rFonts w:ascii="Open Sans" w:hAnsi="Open Sans" w:cs="Open Sans"/>
          <w:b/>
          <w:i/>
          <w:color w:val="59595B"/>
        </w:rPr>
        <w:t>_</w:t>
        <w:br/>
      </w:r>
      <w:r>
        <w:rPr>
          <w:rFonts w:ascii="Open Sans" w:hAnsi="Open Sans" w:cs="Open Sans"/>
          <w:b/>
          <w:i/>
          <w:color w:val="59595B"/>
        </w:rPr>
      </w:r>
      <w:r>
        <w:rPr>
          <w:rFonts w:ascii="Open Sans" w:hAnsi="Open Sans" w:cs="Open Sans"/>
          <w:b/>
          <w:i/>
          <w:color w:val="59595B"/>
        </w:rPr>
        <w:t>Ref:</w:t>
      </w:r>
      <w:r>
        <w:rPr>
          <w:rFonts w:ascii="Open Sans" w:hAnsi="Open Sans" w:cs="Open Sans"/>
          <w:i/>
          <w:color w:val="59595B"/>
        </w:rPr>
        <w:t xml:space="preserve"> TIJ/HR/PROB-EXT/</w:t>
      </w:r>
      <w:r>
        <w:rPr>
          <w:rFonts w:ascii="Open Sans" w:hAnsi="Open Sans" w:cs="Open Sans"/>
          <w:color w:val="59595B"/>
        </w:rPr>
        <w:t>_/____</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 ID&gt;</w:t>
        <w:br/>
      </w:r>
      <w:r>
        <w:rPr>
          <w:rFonts w:ascii="Open Sans" w:hAnsi="Open Sans" w:cs="Open Sans"/>
          <w:color w:val="59595B"/>
        </w:rPr>
        <w:t>&lt;Designation&gt;</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p>
    <w:p>
      <w:pPr>
        <w:pStyle w:val="Heading2"/>
      </w:pPr>
      <w:r>
        <w:rPr>
          <w:rFonts w:ascii="Open Sans" w:hAnsi="Open Sans" w:cs="Open Sans"/>
          <w:b/>
          <w:color w:val="1A1A2E"/>
          <w:sz w:val="28"/>
        </w:rPr>
        <w:t>1. Reference and Context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1.01 This letter is issued with reference to your Appointment Letter dated &lt;appointment date&gt; and your date of joining &lt;date of joining&gt;, under which you were placed on probation for a period of </w:t>
      </w:r>
      <w:r>
        <w:rPr>
          <w:rFonts w:ascii="Open Sans" w:hAnsi="Open Sans" w:cs="Open Sans"/>
          <w:b/>
          <w:color w:val="59595B"/>
        </w:rPr>
        <w:t>six (6) months</w:t>
      </w:r>
      <w:r>
        <w:rPr>
          <w:rFonts w:ascii="Open Sans" w:hAnsi="Open Sans" w:cs="Open Sans"/>
          <w:color w:val="59595B"/>
        </w:rPr>
        <w:t>, scheduled to conclude on &lt;original probation end date&gt;.</w:t>
      </w:r>
      <w:r>
        <w:rPr>
          <w:rFonts w:ascii="Open Sans" w:hAnsi="Open Sans" w:cs="Open Sans"/>
          <w:color w:val="59595B"/>
        </w:rPr>
      </w:r>
    </w:p>
    <w:p>
      <w:r>
        <w:rPr>
          <w:rFonts w:ascii="Open Sans" w:hAnsi="Open Sans" w:cs="Open Sans"/>
          <w:color w:val="59595B"/>
        </w:rPr>
      </w:r>
      <w:r>
        <w:rPr>
          <w:rFonts w:ascii="Open Sans" w:hAnsi="Open Sans" w:cs="Open Sans"/>
          <w:color w:val="59595B"/>
        </w:rPr>
        <w:t>1.02 A formal probation review was conducted by your reporting manager, &lt;Manager Name&gt;, on &lt;review date&gt;, findings of which were shared with you on &lt;date&gt;.</w:t>
      </w:r>
      <w:r>
        <w:rPr>
          <w:rFonts w:ascii="Open Sans" w:hAnsi="Open Sans" w:cs="Open Sans"/>
          <w:color w:val="59595B"/>
        </w:rPr>
      </w:r>
    </w:p>
    <w:p>
      <w:pPr>
        <w:pStyle w:val="Heading2"/>
      </w:pPr>
      <w:r>
        <w:rPr>
          <w:rFonts w:ascii="Open Sans" w:hAnsi="Open Sans" w:cs="Open Sans"/>
          <w:b/>
          <w:color w:val="1A1A2E"/>
          <w:sz w:val="28"/>
        </w:rPr>
        <w:t>2. Review Outcome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2.01 The review has concluded that, as on date, you do </w:t>
      </w:r>
      <w:r>
        <w:rPr>
          <w:rFonts w:ascii="Open Sans" w:hAnsi="Open Sans" w:cs="Open Sans"/>
          <w:b/>
          <w:color w:val="59595B"/>
        </w:rPr>
        <w:t>not yet meet</w:t>
      </w:r>
      <w:r>
        <w:rPr>
          <w:rFonts w:ascii="Open Sans" w:hAnsi="Open Sans" w:cs="Open Sans"/>
          <w:color w:val="59595B"/>
        </w:rPr>
        <w:t xml:space="preserve"> the criteria for confirmation of employment. Specific performance and behavioural gaps identified during the review are set out in Clause 3 below.</w:t>
      </w:r>
      <w:r>
        <w:rPr>
          <w:rFonts w:ascii="Open Sans" w:hAnsi="Open Sans" w:cs="Open Sans"/>
          <w:color w:val="59595B"/>
        </w:rPr>
      </w:r>
    </w:p>
    <w:p>
      <w:pPr>
        <w:pStyle w:val="Heading2"/>
      </w:pPr>
      <w:r>
        <w:rPr>
          <w:rFonts w:ascii="Open Sans" w:hAnsi="Open Sans" w:cs="Open Sans"/>
          <w:b/>
          <w:color w:val="1A1A2E"/>
          <w:sz w:val="28"/>
        </w:rPr>
        <w:t>3. Specific Performance Gaps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3.01 The following gaps require sustained and measurable improvement during the extended probation:</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&lt;Gap 1 — state with specific examples, dates, tickets / deliverables / metrics&gt;</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&lt;Gap 2 — quantify where possible (e.g., quality scores, SLA adherence, attendance, response time)&gt;</w:t>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t>&lt;Gap 3 — behavioural / collaboration / communication, with examples&gt;</w:t>
      </w:r>
      <w:r>
        <w:rPr>
          <w:rFonts w:ascii="Open Sans" w:hAnsi="Open Sans" w:cs="Open Sans"/>
          <w:color w:val="59595B"/>
        </w:rPr>
      </w:r>
      <w:r>
        <w:rPr>
          <w:rFonts w:ascii="Open Sans" w:hAnsi="Open Sans" w:cs="Open Sans"/>
          <w:color w:val="59595B"/>
        </w:rPr>
      </w:r>
    </w:p>
    <w:p>
      <w:pPr>
        <w:pStyle w:val="Heading2"/>
      </w:pPr>
      <w:r>
        <w:rPr>
          <w:rFonts w:ascii="Open Sans" w:hAnsi="Open Sans" w:cs="Open Sans"/>
          <w:b/>
          <w:color w:val="1A1A2E"/>
          <w:sz w:val="28"/>
        </w:rPr>
        <w:t>4. Extension of Probation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4.01 Pursuant to the Appointment Letter, and consistent with the Company's Standing Orders practice under the Industrial Employment (Standing Orders) Act, 1946 (as applicable), your probation is hereby </w:t>
      </w:r>
      <w:r>
        <w:rPr>
          <w:rFonts w:ascii="Open Sans" w:hAnsi="Open Sans" w:cs="Open Sans"/>
          <w:b/>
          <w:color w:val="59595B"/>
        </w:rPr>
        <w:t>extended by three (3) months</w:t>
      </w:r>
      <w:r>
        <w:rPr>
          <w:rFonts w:ascii="Open Sans" w:hAnsi="Open Sans" w:cs="Open Sans"/>
          <w:color w:val="59595B"/>
        </w:rPr>
        <w:t>, with effect from &lt;extension start date&gt; up to &lt;extension end date&gt; (the "</w:t>
      </w:r>
      <w:r>
        <w:rPr>
          <w:rFonts w:ascii="Open Sans" w:hAnsi="Open Sans" w:cs="Open Sans"/>
          <w:b/>
          <w:color w:val="59595B"/>
        </w:rPr>
        <w:t>Extended Probation Period</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4.02 This is a </w:t>
      </w:r>
      <w:r>
        <w:rPr>
          <w:rFonts w:ascii="Open Sans" w:hAnsi="Open Sans" w:cs="Open Sans"/>
          <w:b/>
          <w:color w:val="59595B"/>
        </w:rPr>
        <w:t>one-time extension</w:t>
      </w:r>
      <w:r>
        <w:rPr>
          <w:rFonts w:ascii="Open Sans" w:hAnsi="Open Sans" w:cs="Open Sans"/>
          <w:color w:val="59595B"/>
        </w:rPr>
        <w:t>. A further extension will not be granted except with the specific written approval of the Director in exceptional circumstances.</w:t>
      </w:r>
      <w:r>
        <w:rPr>
          <w:rFonts w:ascii="Open Sans" w:hAnsi="Open Sans" w:cs="Open Sans"/>
          <w:color w:val="59595B"/>
        </w:rPr>
      </w:r>
    </w:p>
    <w:p>
      <w:pPr>
        <w:pStyle w:val="Heading2"/>
      </w:pPr>
      <w:r>
        <w:rPr>
          <w:rFonts w:ascii="Open Sans" w:hAnsi="Open Sans" w:cs="Open Sans"/>
          <w:b/>
          <w:color w:val="1A1A2E"/>
          <w:sz w:val="28"/>
        </w:rPr>
        <w:t>5. Review Cadence During Extension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5.01 </w:t>
      </w:r>
      <w:r>
        <w:rPr>
          <w:rFonts w:ascii="Open Sans" w:hAnsi="Open Sans" w:cs="Open Sans"/>
          <w:b/>
          <w:color w:val="59595B"/>
        </w:rPr>
        <w:t>Fortnightly check-ins:</w:t>
      </w:r>
      <w:r>
        <w:rPr>
          <w:rFonts w:ascii="Open Sans" w:hAnsi="Open Sans" w:cs="Open Sans"/>
          <w:color w:val="59595B"/>
        </w:rPr>
        <w:t xml:space="preserve"> Your reporting manager, &lt;Manager Name&gt;, will conduct structured 1:1 reviews every two weeks, documenting observed performance against the gaps listed in Clause 3.</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5.02 </w:t>
      </w:r>
      <w:r>
        <w:rPr>
          <w:rFonts w:ascii="Open Sans" w:hAnsi="Open Sans" w:cs="Open Sans"/>
          <w:b/>
          <w:color w:val="59595B"/>
        </w:rPr>
        <w:t>Mid-point review:</w:t>
      </w:r>
      <w:r>
        <w:rPr>
          <w:rFonts w:ascii="Open Sans" w:hAnsi="Open Sans" w:cs="Open Sans"/>
          <w:color w:val="59595B"/>
        </w:rPr>
        <w:t xml:space="preserve"> A mid-point review shall be conducted on or before &lt;mid-date&gt;, and minutes shared with HR (hr-india@technijian.com) and with you.</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5.03 </w:t>
      </w:r>
      <w:r>
        <w:rPr>
          <w:rFonts w:ascii="Open Sans" w:hAnsi="Open Sans" w:cs="Open Sans"/>
          <w:b/>
          <w:color w:val="59595B"/>
        </w:rPr>
        <w:t>Final review:</w:t>
      </w:r>
      <w:r>
        <w:rPr>
          <w:rFonts w:ascii="Open Sans" w:hAnsi="Open Sans" w:cs="Open Sans"/>
          <w:color w:val="59595B"/>
        </w:rPr>
        <w:t xml:space="preserve"> A final review shall be conducted on or before &lt;final review date&gt;.</w:t>
      </w:r>
      <w:r>
        <w:rPr>
          <w:rFonts w:ascii="Open Sans" w:hAnsi="Open Sans" w:cs="Open Sans"/>
          <w:color w:val="59595B"/>
        </w:rPr>
      </w:r>
    </w:p>
    <w:p>
      <w:pPr>
        <w:pStyle w:val="Heading2"/>
      </w:pPr>
      <w:r>
        <w:rPr>
          <w:rFonts w:ascii="Open Sans" w:hAnsi="Open Sans" w:cs="Open Sans"/>
          <w:b/>
          <w:color w:val="1A1A2E"/>
          <w:sz w:val="28"/>
        </w:rPr>
        <w:t>6. Outcomes at End of Extended Probation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6.01 Based on the final review, the Company will take one of the following decisions:</w:t>
        <w:br/>
      </w:r>
      <w:r>
        <w:rPr>
          <w:rFonts w:ascii="Open Sans" w:hAnsi="Open Sans" w:cs="Open Sans"/>
          <w:color w:val="59595B"/>
        </w:rPr>
        <w:t xml:space="preserve">1. </w:t>
      </w:r>
      <w:r>
        <w:rPr>
          <w:rFonts w:ascii="Open Sans" w:hAnsi="Open Sans" w:cs="Open Sans"/>
          <w:b/>
          <w:color w:val="59595B"/>
        </w:rPr>
        <w:t>Confirmation</w:t>
      </w:r>
      <w:r>
        <w:rPr>
          <w:rFonts w:ascii="Open Sans" w:hAnsi="Open Sans" w:cs="Open Sans"/>
          <w:color w:val="59595B"/>
        </w:rPr>
        <w:t xml:space="preserve"> of employment — a separate Confirmation Letter will be issued; or</w:t>
        <w:br/>
      </w:r>
      <w:r>
        <w:rPr>
          <w:rFonts w:ascii="Open Sans" w:hAnsi="Open Sans" w:cs="Open Sans"/>
          <w:color w:val="59595B"/>
        </w:rPr>
        <w:t xml:space="preserve">2. </w:t>
      </w:r>
      <w:r>
        <w:rPr>
          <w:rFonts w:ascii="Open Sans" w:hAnsi="Open Sans" w:cs="Open Sans"/>
          <w:b/>
          <w:color w:val="59595B"/>
        </w:rPr>
        <w:t>Separation</w:t>
      </w:r>
      <w:r>
        <w:rPr>
          <w:rFonts w:ascii="Open Sans" w:hAnsi="Open Sans" w:cs="Open Sans"/>
          <w:color w:val="59595B"/>
        </w:rPr>
        <w:t xml:space="preserve"> — where performance continues to fall short, your employment may be terminated in accordance with the notice period applicable during probation, namely </w:t>
      </w:r>
      <w:r>
        <w:rPr>
          <w:rFonts w:ascii="Open Sans" w:hAnsi="Open Sans" w:cs="Open Sans"/>
          <w:b/>
          <w:color w:val="59595B"/>
        </w:rPr>
        <w:t>thirty (30) days (Company)</w:t>
      </w:r>
      <w:r>
        <w:rPr>
          <w:rFonts w:ascii="Open Sans" w:hAnsi="Open Sans" w:cs="Open Sans"/>
          <w:color w:val="59595B"/>
        </w:rPr>
        <w:t xml:space="preserve"> / </w:t>
      </w:r>
      <w:r>
        <w:rPr>
          <w:rFonts w:ascii="Open Sans" w:hAnsi="Open Sans" w:cs="Open Sans"/>
          <w:b/>
          <w:color w:val="59595B"/>
        </w:rPr>
        <w:t>fifteen (15) days (Employee)</w:t>
      </w:r>
      <w:r>
        <w:rPr>
          <w:rFonts w:ascii="Open Sans" w:hAnsi="Open Sans" w:cs="Open Sans"/>
          <w:color w:val="59595B"/>
        </w:rPr>
        <w:t>, or salary in lieu thereof, as set out in your Appointment Letter.</w:t>
      </w:r>
      <w:r>
        <w:rPr>
          <w:rFonts w:ascii="Open Sans" w:hAnsi="Open Sans" w:cs="Open Sans"/>
          <w:color w:val="59595B"/>
        </w:rPr>
      </w:r>
    </w:p>
    <w:p>
      <w:pPr>
        <w:pStyle w:val="Heading2"/>
      </w:pPr>
      <w:r>
        <w:rPr>
          <w:rFonts w:ascii="Open Sans" w:hAnsi="Open Sans" w:cs="Open Sans"/>
          <w:b/>
          <w:color w:val="1A1A2E"/>
          <w:sz w:val="28"/>
        </w:rPr>
        <w:t>7. Other Terms Unchanged</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7.1 Save as modified by this letter, all other terms and conditions of your Appointment Letter, the Employee Handbook, and applicable Company policies (including the POSH Act, 2013 Policy and Code of Conduct) continue to apply and remain binding.</w:t>
      </w:r>
      <w:r>
        <w:rPr>
          <w:rFonts w:ascii="Open Sans" w:hAnsi="Open Sans" w:cs="Open Sans"/>
          <w:color w:val="59595B"/>
        </w:rPr>
      </w:r>
    </w:p>
    <w:p>
      <w:pPr>
        <w:pStyle w:val="Heading2"/>
      </w:pPr>
      <w:r>
        <w:rPr>
          <w:rFonts w:ascii="Open Sans" w:hAnsi="Open Sans" w:cs="Open Sans"/>
          <w:b/>
          <w:color w:val="1A1A2E"/>
          <w:sz w:val="28"/>
        </w:rPr>
        <w:t>8. Commitment of Support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8.01 The Company is committed to your success. Please reach out to your manager or HR at any time during the Extended Probation Period if you need clarification, support, tools or training to close the identified gaps.</w:t>
      </w:r>
      <w:r>
        <w:rPr>
          <w:rFonts w:ascii="Open Sans" w:hAnsi="Open Sans" w:cs="Open Sans"/>
          <w:color w:val="59595B"/>
        </w:rPr>
      </w:r>
    </w:p>
    <w:p>
      <w:pPr>
        <w:pStyle w:val="Heading2"/>
      </w:pPr>
      <w:r>
        <w:rPr>
          <w:rFonts w:ascii="Open Sans" w:hAnsi="Open Sans" w:cs="Open Sans"/>
          <w:b/>
          <w:color w:val="1A1A2E"/>
          <w:sz w:val="28"/>
        </w:rPr>
        <w:t>9. Acknowledgement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9.01 Please sign the duplicate copy of this letter as a token of your acknowledgement and return it to HR within five (5) working days of receipt.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For and on behalf of </w:t>
      </w:r>
      <w:r>
        <w:rPr>
          <w:rFonts w:ascii="Open Sans" w:hAnsi="Open Sans" w:cs="Open Sans"/>
          <w:b/>
          <w:color w:val="59595B"/>
        </w:rPr>
        <w:t>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Acknowledged: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b/>
          <w:i/>
          <w:color w:val="59595B"/>
        </w:rPr>
        <w:t xml:space="preserve">Name: &lt;Employee Name&gt; Emp ID: &lt;Emp ID&gt; Date: </w:t>
      </w:r>
      <w:r>
        <w:rPr>
          <w:rFonts w:ascii="Open Sans" w:hAnsi="Open Sans" w:cs="Open Sans"/>
          <w:b/>
          <w:i/>
          <w:color w:val="59595B"/>
        </w:rPr>
        <w:t>_</w:t>
      </w:r>
      <w:r>
        <w:rPr>
          <w:rFonts w:ascii="Open Sans" w:hAnsi="Open Sans" w:cs="Open Sans"/>
          <w:color w:val="59595B"/>
        </w:rPr>
        <w:t xml:space="preserve"> Place: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Copy to:</w:t>
      </w:r>
      <w:r>
        <w:rPr>
          <w:rFonts w:ascii="Open Sans" w:hAnsi="Open Sans" w:cs="Open Sans"/>
          <w:color w:val="59595B"/>
        </w:rPr>
        <w:t xml:space="preserve"> Reporting Manager, HR File, Head of HR India (Shelja Mehta, smehta@technijian.com)</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