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Open Sans" w:hAnsi="Open Sans" w:cs="Open Sans"/>
          <w:color w:val="59595B"/>
        </w:rPr>
      </w:r>
      <w:r>
        <w:rPr>
          <w:rFonts w:ascii="Open Sans" w:hAnsi="Open Sans" w:cs="Open Sans"/>
          <w:b/>
          <w:color w:val="59595B"/>
        </w:rPr>
        <w:t>ORDER OF SUSPENSION PENDING DOMESTIC INQUIRY</w:t>
      </w:r>
      <w:r>
        <w:rPr>
          <w:rFonts w:ascii="Open Sans" w:hAnsi="Open Sans" w:cs="Open Sans"/>
          <w:color w:val="59595B"/>
        </w:rPr>
      </w:r>
    </w:p>
    <w:p>
      <w:r>
        <w:rPr>
          <w:rFonts w:ascii="Open Sans" w:hAnsi="Open Sans" w:cs="Open Sans"/>
          <w:color w:val="59595B"/>
        </w:rPr>
      </w:r>
      <w:r>
        <w:rPr>
          <w:rFonts w:ascii="Open Sans" w:hAnsi="Open Sans" w:cs="Open Sans"/>
          <w:color w:val="59595B"/>
        </w:rPr>
        <w:t>Date: &lt;DD Month YYYY&gt;</w:t>
        <w:br/>
      </w:r>
      <w:r>
        <w:rPr>
          <w:rFonts w:ascii="Open Sans" w:hAnsi="Open Sans" w:cs="Open Sans"/>
          <w:color w:val="59595B"/>
        </w:rPr>
        <w:t>Ref No.: SUSP/YYYY/NN</w:t>
      </w:r>
      <w:r>
        <w:rPr>
          <w:rFonts w:ascii="Open Sans" w:hAnsi="Open Sans" w:cs="Open Sans"/>
          <w:color w:val="59595B"/>
        </w:rPr>
      </w:r>
    </w:p>
    <w:p>
      <w:r>
        <w:rPr>
          <w:rFonts w:ascii="Open Sans" w:hAnsi="Open Sans" w:cs="Open Sans"/>
          <w:color w:val="59595B"/>
        </w:rPr>
      </w:r>
      <w:r>
        <w:rPr>
          <w:rFonts w:ascii="Open Sans" w:hAnsi="Open Sans" w:cs="Open Sans"/>
          <w:b/>
          <w:color w:val="59595B"/>
        </w:rPr>
        <w:t>PRIVATE &amp; CONFIDENTIAL — BY HAND / REGISTERED POST AD / EMAIL</w:t>
      </w:r>
      <w:r>
        <w:rPr>
          <w:rFonts w:ascii="Open Sans" w:hAnsi="Open Sans" w:cs="Open Sans"/>
          <w:color w:val="59595B"/>
        </w:rPr>
      </w:r>
    </w:p>
    <w:p>
      <w:r>
        <w:rPr>
          <w:rFonts w:ascii="Open Sans" w:hAnsi="Open Sans" w:cs="Open Sans"/>
          <w:color w:val="59595B"/>
        </w:rPr>
      </w:r>
      <w:r>
        <w:rPr>
          <w:rFonts w:ascii="Open Sans" w:hAnsi="Open Sans" w:cs="Open Sans"/>
          <w:b/>
          <w:color w:val="59595B"/>
        </w:rPr>
        <w:t>To:</w:t>
        <w:br/>
      </w:r>
      <w:r>
        <w:rPr>
          <w:rFonts w:ascii="Open Sans" w:hAnsi="Open Sans" w:cs="Open Sans"/>
          <w:color w:val="59595B"/>
        </w:rPr>
        <w:t>&lt;Employee Name&gt;</w:t>
        <w:br/>
      </w:r>
      <w:r>
        <w:rPr>
          <w:rFonts w:ascii="Open Sans" w:hAnsi="Open Sans" w:cs="Open Sans"/>
          <w:color w:val="59595B"/>
        </w:rPr>
        <w:t>&lt;Employee ID&gt;</w:t>
        <w:br/>
      </w:r>
      <w:r>
        <w:rPr>
          <w:rFonts w:ascii="Open Sans" w:hAnsi="Open Sans" w:cs="Open Sans"/>
          <w:color w:val="59595B"/>
        </w:rPr>
        <w:t>&lt;Designation&gt;</w:t>
        <w:br/>
      </w:r>
      <w:r>
        <w:rPr>
          <w:rFonts w:ascii="Open Sans" w:hAnsi="Open Sans" w:cs="Open Sans"/>
          <w:color w:val="59595B"/>
        </w:rPr>
        <w:t>&lt;Department&gt;</w:t>
        <w:br/>
      </w:r>
      <w:r>
        <w:rPr>
          <w:rFonts w:ascii="Open Sans" w:hAnsi="Open Sans" w:cs="Open Sans"/>
          <w:color w:val="59595B"/>
        </w:rPr>
        <w:t>&lt;Residential Address on Record&gt;</w:t>
      </w:r>
      <w:r>
        <w:rPr>
          <w:rFonts w:ascii="Open Sans" w:hAnsi="Open Sans" w:cs="Open Sans"/>
          <w:color w:val="59595B"/>
        </w:rPr>
      </w:r>
    </w:p>
    <w:p>
      <w:r>
        <w:rPr>
          <w:rFonts w:ascii="Open Sans" w:hAnsi="Open Sans" w:cs="Open Sans"/>
          <w:color w:val="59595B"/>
        </w:rPr>
      </w:r>
      <w:r>
        <w:rPr>
          <w:rFonts w:ascii="Open Sans" w:hAnsi="Open Sans" w:cs="Open Sans"/>
          <w:b/>
          <w:color w:val="59595B"/>
        </w:rPr>
        <w:t>Subject: Order of Suspension Pending Domestic Inquiry</w:t>
      </w:r>
      <w:r>
        <w:rPr>
          <w:rFonts w:ascii="Open Sans" w:hAnsi="Open Sans" w:cs="Open Sans"/>
          <w:color w:val="59595B"/>
        </w:rPr>
      </w:r>
    </w:p>
    <w:p>
      <w:r>
        <w:rPr>
          <w:rFonts w:ascii="Open Sans" w:hAnsi="Open Sans" w:cs="Open Sans"/>
          <w:color w:val="59595B"/>
        </w:rPr>
      </w:r>
      <w:r>
        <w:rPr>
          <w:rFonts w:ascii="Open Sans" w:hAnsi="Open Sans" w:cs="Open Sans"/>
          <w:color w:val="59595B"/>
        </w:rPr>
        <w:t>Dear &lt;Employee Name&gt;,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1.01 This Order is issued by Technijian IT Services Pvt. Ltd. (the "Company") in exercise of its authority as the Disciplinary Authority under [Clause X.Y of the Employee Handbook], consistent with the principles of natural justice, the common-law framework of domestic inquiries upheld by the Supreme Court of India (including </w:t>
      </w:r>
      <w:r>
        <w:rPr>
          <w:rFonts w:ascii="Open Sans" w:hAnsi="Open Sans" w:cs="Open Sans"/>
          <w:i/>
          <w:color w:val="59595B"/>
        </w:rPr>
        <w:t>Hotel Imperial v. Hotel Workers' Union</w:t>
      </w:r>
      <w:r>
        <w:rPr>
          <w:rFonts w:ascii="Open Sans" w:hAnsi="Open Sans" w:cs="Open Sans"/>
          <w:color w:val="59595B"/>
        </w:rPr>
        <w:t>), and, where applicable, the Industrial Employment (Standing Orders) Act, 1946.</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1.02 </w:t>
      </w:r>
      <w:r>
        <w:rPr>
          <w:rFonts w:ascii="Open Sans" w:hAnsi="Open Sans" w:cs="Open Sans"/>
          <w:b/>
          <w:color w:val="59595B"/>
        </w:rPr>
        <w:t>References on Record</w:t>
        <w:br/>
      </w:r>
      <w:r>
        <w:rPr>
          <w:rFonts w:ascii="Open Sans" w:hAnsi="Open Sans" w:cs="Open Sans"/>
          <w:color w:val="59595B"/>
        </w:rPr>
        <w:t>1.02.1 Show Cause Notice dated &lt;DD Month YYYY&gt;, Ref: SCN/YYYY/NN.</w:t>
        <w:br/>
      </w:r>
      <w:r>
        <w:rPr>
          <w:rFonts w:ascii="Open Sans" w:hAnsi="Open Sans" w:cs="Open Sans"/>
          <w:color w:val="59595B"/>
        </w:rPr>
        <w:t>1.02.2 Your written reply / explanation dated &lt;DD Month YYYY&gt; (or absence thereof).</w:t>
        <w:br/>
      </w:r>
      <w:r>
        <w:rPr>
          <w:rFonts w:ascii="Open Sans" w:hAnsi="Open Sans" w:cs="Open Sans"/>
          <w:color w:val="59595B"/>
        </w:rPr>
        <w:t>1.02.3 Charge Sheet dated &lt;DD Month YYYY&gt;, Ref: CS/YYYY/NN (issued contemporaneously / to follow).</w:t>
        <w:br/>
      </w:r>
      <w:r>
        <w:rPr>
          <w:rFonts w:ascii="Open Sans" w:hAnsi="Open Sans" w:cs="Open Sans"/>
          <w:color w:val="59595B"/>
        </w:rPr>
        <w:t>1.02.4 Preliminary findings recorded by HR / Management dated &lt;DD Month YYYY&gt;.</w:t>
      </w:r>
      <w:r>
        <w:rPr>
          <w:rFonts w:ascii="Open Sans" w:hAnsi="Open Sans" w:cs="Open Sans"/>
          <w:color w:val="59595B"/>
        </w:rPr>
      </w:r>
    </w:p>
    <w:p>
      <w:r>
        <w:rPr>
          <w:rFonts w:ascii="Open Sans" w:hAnsi="Open Sans" w:cs="Open Sans"/>
          <w:color w:val="59595B"/>
        </w:rPr>
      </w:r>
      <w:r>
        <w:rPr>
          <w:rFonts w:ascii="Open Sans" w:hAnsi="Open Sans" w:cs="Open Sans"/>
          <w:b/>
          <w:color w:val="59595B"/>
        </w:rPr>
        <w:t>2.00 Order of Suspension</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2.01 Pending completion of a domestic inquiry into the allegations of misconduct leveled against you, you are hereby placed </w:t>
      </w:r>
      <w:r>
        <w:rPr>
          <w:rFonts w:ascii="Open Sans" w:hAnsi="Open Sans" w:cs="Open Sans"/>
          <w:b/>
          <w:color w:val="59595B"/>
        </w:rPr>
        <w:t>UNDER SUSPENSION</w:t>
      </w:r>
      <w:r>
        <w:rPr>
          <w:rFonts w:ascii="Open Sans" w:hAnsi="Open Sans" w:cs="Open Sans"/>
          <w:color w:val="59595B"/>
        </w:rPr>
        <w:t xml:space="preserve"> with effect from the close of business on &lt;DD Month YYYY&gt;.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2.02 </w:t>
      </w:r>
      <w:r>
        <w:rPr>
          <w:rFonts w:ascii="Open Sans" w:hAnsi="Open Sans" w:cs="Open Sans"/>
          <w:b/>
          <w:color w:val="59595B"/>
        </w:rPr>
        <w:t>This suspension is NOT a punishment.</w:t>
      </w:r>
      <w:r>
        <w:rPr>
          <w:rFonts w:ascii="Open Sans" w:hAnsi="Open Sans" w:cs="Open Sans"/>
          <w:color w:val="59595B"/>
        </w:rPr>
        <w:t xml:space="preserve"> It is a precautionary administrative measure intended to preserve the integrity of the Company's records, systems, witnesses, and workplace pending the outcome of the domestic inquiry, and shall not be treated as a finding of guilt.</w:t>
      </w:r>
      <w:r>
        <w:rPr>
          <w:rFonts w:ascii="Open Sans" w:hAnsi="Open Sans" w:cs="Open Sans"/>
          <w:color w:val="59595B"/>
        </w:rPr>
      </w:r>
    </w:p>
    <w:p>
      <w:r>
        <w:rPr>
          <w:rFonts w:ascii="Open Sans" w:hAnsi="Open Sans" w:cs="Open Sans"/>
          <w:color w:val="59595B"/>
        </w:rPr>
      </w:r>
      <w:r>
        <w:rPr>
          <w:rFonts w:ascii="Open Sans" w:hAnsi="Open Sans" w:cs="Open Sans"/>
          <w:b/>
          <w:color w:val="59595B"/>
        </w:rPr>
        <w:t>3.00 Conditions During Suspension</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3.01 You shall </w:t>
      </w:r>
      <w:r>
        <w:rPr>
          <w:rFonts w:ascii="Open Sans" w:hAnsi="Open Sans" w:cs="Open Sans"/>
          <w:b/>
          <w:color w:val="59595B"/>
        </w:rPr>
        <w:t>not</w:t>
      </w:r>
      <w:r>
        <w:rPr>
          <w:rFonts w:ascii="Open Sans" w:hAnsi="Open Sans" w:cs="Open Sans"/>
          <w:color w:val="59595B"/>
        </w:rPr>
        <w:t xml:space="preserve"> enter the Company's premises except as expressly required by the Inquiry Officer or HR, and only upon prior written permission.</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3.02 You shall </w:t>
      </w:r>
      <w:r>
        <w:rPr>
          <w:rFonts w:ascii="Open Sans" w:hAnsi="Open Sans" w:cs="Open Sans"/>
          <w:b/>
          <w:color w:val="59595B"/>
        </w:rPr>
        <w:t>not</w:t>
      </w:r>
      <w:r>
        <w:rPr>
          <w:rFonts w:ascii="Open Sans" w:hAnsi="Open Sans" w:cs="Open Sans"/>
          <w:color w:val="59595B"/>
        </w:rPr>
        <w:t xml:space="preserve"> access Company systems, email, cloud drives, code repositories, client data, or any other Company confidential information. Your credentials will be disabled with effect from the date of this Order.</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3.03 You shall remain </w:t>
      </w:r>
      <w:r>
        <w:rPr>
          <w:rFonts w:ascii="Open Sans" w:hAnsi="Open Sans" w:cs="Open Sans"/>
          <w:b/>
          <w:color w:val="59595B"/>
        </w:rPr>
        <w:t>available and reachable</w:t>
      </w:r>
      <w:r>
        <w:rPr>
          <w:rFonts w:ascii="Open Sans" w:hAnsi="Open Sans" w:cs="Open Sans"/>
          <w:color w:val="59595B"/>
        </w:rPr>
        <w:t xml:space="preserve"> at the address, email, and mobile number on record, and respond to any communication from HR or the Inquiry Officer </w:t>
      </w:r>
      <w:r>
        <w:rPr>
          <w:rFonts w:ascii="Open Sans" w:hAnsi="Open Sans" w:cs="Open Sans"/>
          <w:b/>
          <w:color w:val="59595B"/>
        </w:rPr>
        <w:t>within 24 (twenty-four) hours</w:t>
      </w:r>
      <w:r>
        <w:rPr>
          <w:rFonts w:ascii="Open Sans" w:hAnsi="Open Sans" w:cs="Open Sans"/>
          <w:color w:val="59595B"/>
        </w:rPr>
        <w:t>.</w:t>
      </w:r>
      <w:r>
        <w:rPr>
          <w:rFonts w:ascii="Open Sans" w:hAnsi="Open Sans" w:cs="Open Sans"/>
          <w:color w:val="59595B"/>
        </w:rPr>
      </w:r>
    </w:p>
    <w:p>
      <w:r>
        <w:rPr>
          <w:rFonts w:ascii="Open Sans" w:hAnsi="Open Sans" w:cs="Open Sans"/>
          <w:color w:val="59595B"/>
        </w:rPr>
      </w:r>
      <w:r>
        <w:rPr>
          <w:rFonts w:ascii="Open Sans" w:hAnsi="Open Sans" w:cs="Open Sans"/>
          <w:color w:val="59595B"/>
        </w:rPr>
        <w:t>3.04 You shall not represent yourself as an active employee of the Company or engage any client, vendor, or third party on the Company's behalf.</w:t>
      </w:r>
      <w:r>
        <w:rPr>
          <w:rFonts w:ascii="Open Sans" w:hAnsi="Open Sans" w:cs="Open Sans"/>
          <w:color w:val="59595B"/>
        </w:rPr>
      </w:r>
    </w:p>
    <w:p>
      <w:r>
        <w:rPr>
          <w:rFonts w:ascii="Open Sans" w:hAnsi="Open Sans" w:cs="Open Sans"/>
          <w:color w:val="59595B"/>
        </w:rPr>
      </w:r>
      <w:r>
        <w:rPr>
          <w:rFonts w:ascii="Open Sans" w:hAnsi="Open Sans" w:cs="Open Sans"/>
          <w:color w:val="59595B"/>
        </w:rPr>
        <w:t>3.05 You shall not approach, contact, or attempt to influence, directly or indirectly, any witness, complainant, or fellow employee in connection with the subject matter of the inquiry. Any such conduct shall itself constitute a separate act of grave misconduct.</w:t>
      </w:r>
      <w:r>
        <w:rPr>
          <w:rFonts w:ascii="Open Sans" w:hAnsi="Open Sans" w:cs="Open Sans"/>
          <w:color w:val="59595B"/>
        </w:rPr>
      </w:r>
    </w:p>
    <w:p>
      <w:r>
        <w:rPr>
          <w:rFonts w:ascii="Open Sans" w:hAnsi="Open Sans" w:cs="Open Sans"/>
          <w:color w:val="59595B"/>
        </w:rPr>
      </w:r>
      <w:r>
        <w:rPr>
          <w:rFonts w:ascii="Open Sans" w:hAnsi="Open Sans" w:cs="Open Sans"/>
          <w:color w:val="59595B"/>
        </w:rPr>
        <w:t>3.06 You shall surrender to HR, on or before &lt;DD Month YYYY&gt;, &lt;HH:MM hrs&gt;, all Company property in your possession, including without limitation: identity card, access card, laptop and charger, mobile device (if issued), SIM card (if Company-funded), data cards, hard-copy documents, keys, and any other items issued to you.</w:t>
      </w:r>
      <w:r>
        <w:rPr>
          <w:rFonts w:ascii="Open Sans" w:hAnsi="Open Sans" w:cs="Open Sans"/>
          <w:color w:val="59595B"/>
        </w:rPr>
      </w:r>
    </w:p>
    <w:p>
      <w:r>
        <w:rPr>
          <w:rFonts w:ascii="Open Sans" w:hAnsi="Open Sans" w:cs="Open Sans"/>
          <w:color w:val="59595B"/>
        </w:rPr>
      </w:r>
      <w:r>
        <w:rPr>
          <w:rFonts w:ascii="Open Sans" w:hAnsi="Open Sans" w:cs="Open Sans"/>
          <w:b/>
          <w:color w:val="59595B"/>
        </w:rPr>
        <w:t>4.00 Subsistence Allowance</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4.01 During the period of suspension, you shall be paid a </w:t>
      </w:r>
      <w:r>
        <w:rPr>
          <w:rFonts w:ascii="Open Sans" w:hAnsi="Open Sans" w:cs="Open Sans"/>
          <w:b/>
          <w:color w:val="59595B"/>
        </w:rPr>
        <w:t>subsistence allowance</w:t>
      </w:r>
      <w:r>
        <w:rPr>
          <w:rFonts w:ascii="Open Sans" w:hAnsi="Open Sans" w:cs="Open Sans"/>
          <w:color w:val="59595B"/>
        </w:rPr>
        <w:t xml:space="preserve"> computed on the following basis, consistent with the common-law standard applied by Indian courts (</w:t>
      </w:r>
      <w:r>
        <w:rPr>
          <w:rFonts w:ascii="Open Sans" w:hAnsi="Open Sans" w:cs="Open Sans"/>
          <w:i/>
          <w:color w:val="59595B"/>
        </w:rPr>
        <w:t>Hotel Imperial</w:t>
      </w:r>
      <w:r>
        <w:rPr>
          <w:rFonts w:ascii="Open Sans" w:hAnsi="Open Sans" w:cs="Open Sans"/>
          <w:color w:val="59595B"/>
        </w:rPr>
        <w:t xml:space="preserve"> line of authorities) and the spirit of the Industrial Employment (Standing Orders) Central Rules, 1946 (Schedule I-B), and as may be varied by any certified Standing Orders specific to the Company and the Punjab Shops and Commercial Establishments Act, 1958 (as applicable in Haryana / Panchkula):</w:t>
      </w:r>
      <w:r>
        <w:rPr>
          <w:rFonts w:ascii="Open Sans" w:hAnsi="Open Sans" w:cs="Open Sans"/>
          <w:color w:val="59595B"/>
        </w:rPr>
      </w:r>
    </w:p>
    <w:p>
      <w:r>
        <w:rPr>
          <w:rFonts w:ascii="Open Sans" w:hAnsi="Open Sans" w:cs="Open Sans"/>
          <w:color w:val="59595B"/>
        </w:rPr>
      </w:r>
      <w:r>
        <w:rPr>
          <w:rFonts w:ascii="Open Sans" w:hAnsi="Open Sans" w:cs="Open Sans"/>
          <w:color w:val="59595B"/>
        </w:rPr>
        <w:t>4.01.1 **First 90 (ninety) days of suspension:** 50% of Basic Wages + applicable dearness allowance (if any).</w:t>
        <w:br/>
        <w:t>4.01.2 **Beyond 90 days, up to 180 days:** 75% of Basic Wages + applicable dearness allowance, provided that the delay in completion of inquiry is not attributable to your conduct.</w:t>
        <w:br/>
        <w:t>4.01.3 **Beyond 180 days:** Rate to be reviewed by the Disciplinary Authority, taking into account the reason for delay.</w:t>
        <w:br/>
      </w:r>
      <w:r>
        <w:rPr>
          <w:rFonts w:ascii="Open Sans" w:hAnsi="Open Sans" w:cs="Open Sans"/>
          <w:color w:val="59595B"/>
        </w:rPr>
      </w:r>
    </w:p>
    <w:p>
      <w:r>
        <w:rPr>
          <w:rFonts w:ascii="Open Sans" w:hAnsi="Open Sans" w:cs="Open Sans"/>
          <w:color w:val="59595B"/>
        </w:rPr>
      </w:r>
      <w:r>
        <w:rPr>
          <w:rFonts w:ascii="Open Sans" w:hAnsi="Open Sans" w:cs="Open Sans"/>
          <w:color w:val="59595B"/>
        </w:rPr>
        <w:t>4.02 If the delay in conclusion of the inquiry is attributable to you (e.g., non-appearance, non-cooperation, seeking repeated adjournments), the subsistence allowance may be restricted to 50% throughout, at the Company's discretion.</w:t>
      </w:r>
      <w:r>
        <w:rPr>
          <w:rFonts w:ascii="Open Sans" w:hAnsi="Open Sans" w:cs="Open Sans"/>
          <w:color w:val="59595B"/>
        </w:rPr>
      </w:r>
    </w:p>
    <w:p>
      <w:r>
        <w:rPr>
          <w:rFonts w:ascii="Open Sans" w:hAnsi="Open Sans" w:cs="Open Sans"/>
          <w:color w:val="59595B"/>
        </w:rPr>
      </w:r>
      <w:r>
        <w:rPr>
          <w:rFonts w:ascii="Open Sans" w:hAnsi="Open Sans" w:cs="Open Sans"/>
          <w:color w:val="59595B"/>
        </w:rPr>
        <w:t>4.03 Statutory deductions (EPF under the Employees' Provident Funds and Miscellaneous Provisions Act, 1952; ESI under the Employees' State Insurance Act, 1948 where applicable; TDS under the Income-tax Act, 1961; Professional Tax; Labour Welfare Fund under the Haryana Labour Welfare Fund Act, 1981) shall continue to be deducted and remitted on the subsistence allowance.</w:t>
      </w:r>
      <w:r>
        <w:rPr>
          <w:rFonts w:ascii="Open Sans" w:hAnsi="Open Sans" w:cs="Open Sans"/>
          <w:color w:val="59595B"/>
        </w:rPr>
      </w:r>
    </w:p>
    <w:p>
      <w:r>
        <w:rPr>
          <w:rFonts w:ascii="Open Sans" w:hAnsi="Open Sans" w:cs="Open Sans"/>
          <w:color w:val="59595B"/>
        </w:rPr>
      </w:r>
      <w:r>
        <w:rPr>
          <w:rFonts w:ascii="Open Sans" w:hAnsi="Open Sans" w:cs="Open Sans"/>
          <w:color w:val="59595B"/>
        </w:rPr>
        <w:t>4.04 Group health, EPF, and ESI cover shall continue during suspension, subject to the Company's policy and applicable law.</w:t>
      </w:r>
      <w:r>
        <w:rPr>
          <w:rFonts w:ascii="Open Sans" w:hAnsi="Open Sans" w:cs="Open Sans"/>
          <w:color w:val="59595B"/>
        </w:rPr>
      </w:r>
    </w:p>
    <w:p>
      <w:r>
        <w:rPr>
          <w:rFonts w:ascii="Open Sans" w:hAnsi="Open Sans" w:cs="Open Sans"/>
          <w:color w:val="59595B"/>
        </w:rPr>
      </w:r>
      <w:r>
        <w:rPr>
          <w:rFonts w:ascii="Open Sans" w:hAnsi="Open Sans" w:cs="Open Sans"/>
          <w:b/>
          <w:color w:val="59595B"/>
        </w:rPr>
        <w:t>5.00 Duration and Review</w:t>
      </w:r>
      <w:r>
        <w:rPr>
          <w:rFonts w:ascii="Open Sans" w:hAnsi="Open Sans" w:cs="Open Sans"/>
          <w:color w:val="59595B"/>
        </w:rPr>
      </w:r>
    </w:p>
    <w:p>
      <w:r>
        <w:rPr>
          <w:rFonts w:ascii="Open Sans" w:hAnsi="Open Sans" w:cs="Open Sans"/>
          <w:color w:val="59595B"/>
        </w:rPr>
      </w:r>
      <w:r>
        <w:rPr>
          <w:rFonts w:ascii="Open Sans" w:hAnsi="Open Sans" w:cs="Open Sans"/>
          <w:color w:val="59595B"/>
        </w:rPr>
        <w:t>5.01 The suspension shall remain in force until conclusion of the domestic inquiry and communication of the final Order by the Disciplinary Authority.</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5.02 The suspension order shall be </w:t>
      </w:r>
      <w:r>
        <w:rPr>
          <w:rFonts w:ascii="Open Sans" w:hAnsi="Open Sans" w:cs="Open Sans"/>
          <w:b/>
          <w:color w:val="59595B"/>
        </w:rPr>
        <w:t>reviewed every 90 (ninety) days</w:t>
      </w:r>
      <w:r>
        <w:rPr>
          <w:rFonts w:ascii="Open Sans" w:hAnsi="Open Sans" w:cs="Open Sans"/>
          <w:color w:val="59595B"/>
        </w:rPr>
        <w:t xml:space="preserve"> by the Disciplinary Authority to assess whether it continues to be necessary.</w:t>
      </w:r>
      <w:r>
        <w:rPr>
          <w:rFonts w:ascii="Open Sans" w:hAnsi="Open Sans" w:cs="Open Sans"/>
          <w:color w:val="59595B"/>
        </w:rPr>
      </w:r>
    </w:p>
    <w:p>
      <w:r>
        <w:rPr>
          <w:rFonts w:ascii="Open Sans" w:hAnsi="Open Sans" w:cs="Open Sans"/>
          <w:color w:val="59595B"/>
        </w:rPr>
      </w:r>
      <w:r>
        <w:rPr>
          <w:rFonts w:ascii="Open Sans" w:hAnsi="Open Sans" w:cs="Open Sans"/>
          <w:b/>
          <w:color w:val="59595B"/>
        </w:rPr>
        <w:t>6.00 Outcome</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6.01 If the charges are </w:t>
      </w:r>
      <w:r>
        <w:rPr>
          <w:rFonts w:ascii="Open Sans" w:hAnsi="Open Sans" w:cs="Open Sans"/>
          <w:b/>
          <w:color w:val="59595B"/>
        </w:rPr>
        <w:t>not proved</w:t>
      </w:r>
      <w:r>
        <w:rPr>
          <w:rFonts w:ascii="Open Sans" w:hAnsi="Open Sans" w:cs="Open Sans"/>
          <w:color w:val="59595B"/>
        </w:rPr>
        <w:t xml:space="preserve"> at inquiry, the suspension shall be set aside, and you shall be reinstated with such back-wages and consequential benefits as the Disciplinary Authority directs, consistent with applicable law and the Inquiry Report.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6.02 If the charges are </w:t>
      </w:r>
      <w:r>
        <w:rPr>
          <w:rFonts w:ascii="Open Sans" w:hAnsi="Open Sans" w:cs="Open Sans"/>
          <w:b/>
          <w:color w:val="59595B"/>
        </w:rPr>
        <w:t>proved</w:t>
      </w:r>
      <w:r>
        <w:rPr>
          <w:rFonts w:ascii="Open Sans" w:hAnsi="Open Sans" w:cs="Open Sans"/>
          <w:color w:val="59595B"/>
        </w:rPr>
        <w:t>, the suspension period shall be treated in accordance with the final Order of the Disciplinary Authority.</w:t>
      </w:r>
      <w:r>
        <w:rPr>
          <w:rFonts w:ascii="Open Sans" w:hAnsi="Open Sans" w:cs="Open Sans"/>
          <w:color w:val="59595B"/>
        </w:rPr>
      </w:r>
    </w:p>
    <w:p>
      <w:r>
        <w:rPr>
          <w:rFonts w:ascii="Open Sans" w:hAnsi="Open Sans" w:cs="Open Sans"/>
          <w:color w:val="59595B"/>
        </w:rPr>
      </w:r>
      <w:r>
        <w:rPr>
          <w:rFonts w:ascii="Open Sans" w:hAnsi="Open Sans" w:cs="Open Sans"/>
          <w:b/>
          <w:color w:val="59595B"/>
        </w:rPr>
        <w:t>7.00 Right of Appeal</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7.01 You have the right to appeal this Order to the Appellate Authority, </w:t>
      </w:r>
      <w:r>
        <w:rPr>
          <w:rFonts w:ascii="Open Sans" w:hAnsi="Open Sans" w:cs="Open Sans"/>
          <w:b/>
          <w:color w:val="59595B"/>
        </w:rPr>
        <w:t>Chandra Jain</w:t>
      </w:r>
      <w:r>
        <w:rPr>
          <w:rFonts w:ascii="Open Sans" w:hAnsi="Open Sans" w:cs="Open Sans"/>
          <w:color w:val="59595B"/>
        </w:rPr>
        <w:t xml:space="preserve">, within </w:t>
      </w:r>
      <w:r>
        <w:rPr>
          <w:rFonts w:ascii="Open Sans" w:hAnsi="Open Sans" w:cs="Open Sans"/>
          <w:b/>
          <w:color w:val="59595B"/>
        </w:rPr>
        <w:t>30 (thirty) days</w:t>
      </w:r>
      <w:r>
        <w:rPr>
          <w:rFonts w:ascii="Open Sans" w:hAnsi="Open Sans" w:cs="Open Sans"/>
          <w:color w:val="59595B"/>
        </w:rPr>
        <w:t xml:space="preserve"> of receipt. An appeal shall not by itself operate as a stay of this Order.</w:t>
      </w:r>
      <w:r>
        <w:rPr>
          <w:rFonts w:ascii="Open Sans" w:hAnsi="Open Sans" w:cs="Open Sans"/>
          <w:color w:val="59595B"/>
        </w:rPr>
      </w:r>
    </w:p>
    <w:p>
      <w:r>
        <w:rPr>
          <w:rFonts w:ascii="Open Sans" w:hAnsi="Open Sans" w:cs="Open Sans"/>
          <w:color w:val="59595B"/>
        </w:rPr>
      </w:r>
      <w:r>
        <w:rPr>
          <w:rFonts w:ascii="Open Sans" w:hAnsi="Open Sans" w:cs="Open Sans"/>
          <w:b/>
          <w:color w:val="59595B"/>
        </w:rPr>
        <w:t>8.00 Acknowledgement</w:t>
      </w:r>
      <w:r>
        <w:rPr>
          <w:rFonts w:ascii="Open Sans" w:hAnsi="Open Sans" w:cs="Open Sans"/>
          <w:color w:val="59595B"/>
        </w:rPr>
      </w:r>
    </w:p>
    <w:p>
      <w:r>
        <w:rPr>
          <w:rFonts w:ascii="Open Sans" w:hAnsi="Open Sans" w:cs="Open Sans"/>
          <w:color w:val="59595B"/>
        </w:rPr>
      </w:r>
      <w:r>
        <w:rPr>
          <w:rFonts w:ascii="Open Sans" w:hAnsi="Open Sans" w:cs="Open Sans"/>
          <w:color w:val="59595B"/>
        </w:rPr>
        <w:t>8.01 Kindly acknowledge receipt in the space below. Acknowledgement of receipt does not constitute admission or waiver of rights.</w:t>
      </w:r>
      <w:r>
        <w:rPr>
          <w:rFonts w:ascii="Open Sans" w:hAnsi="Open Sans" w:cs="Open Sans"/>
          <w:color w:val="59595B"/>
        </w:rPr>
      </w:r>
    </w:p>
    <w:p>
      <w:r>
        <w:rPr>
          <w:rFonts w:ascii="Open Sans" w:hAnsi="Open Sans" w:cs="Open Sans"/>
          <w:color w:val="59595B"/>
        </w:rPr>
      </w:r>
      <w:r>
        <w:rPr>
          <w:rFonts w:ascii="Open Sans" w:hAnsi="Open Sans" w:cs="Open Sans"/>
          <w:color w:val="59595B"/>
        </w:rPr>
        <w:t>Yours sincerely,</w:t>
      </w:r>
      <w:r>
        <w:rPr>
          <w:rFonts w:ascii="Open Sans" w:hAnsi="Open Sans" w:cs="Open Sans"/>
          <w:color w:val="59595B"/>
        </w:rPr>
      </w:r>
    </w:p>
    <w:p>
      <w:r>
        <w:rPr>
          <w:rFonts w:ascii="Open Sans" w:hAnsi="Open Sans" w:cs="Open Sans"/>
          <w:color w:val="59595B"/>
        </w:rPr>
      </w:r>
      <w:r>
        <w:rPr>
          <w:rFonts w:ascii="Open Sans" w:hAnsi="Open Sans" w:cs="Open Sans"/>
          <w:b/>
          <w:color w:val="59595B"/>
        </w:rPr>
        <w:t>For Technijian IT Services Pvt. Ltd.</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Ravi Jain</w:t>
        <w:br/>
      </w:r>
      <w:r>
        <w:rPr>
          <w:rFonts w:ascii="Open Sans" w:hAnsi="Open Sans" w:cs="Open Sans"/>
          <w:color w:val="59595B"/>
        </w:rPr>
        <w:t>Director &amp; Disciplinary Authority</w:t>
        <w:br/>
      </w:r>
      <w:r>
        <w:rPr>
          <w:rFonts w:ascii="Open Sans" w:hAnsi="Open Sans" w:cs="Open Sans"/>
          <w:color w:val="59595B"/>
        </w:rPr>
        <w:t>rjain@technijian.com</w:t>
      </w:r>
      <w:r>
        <w:rPr>
          <w:rFonts w:ascii="Open Sans" w:hAnsi="Open Sans" w:cs="Open Sans"/>
          <w:color w:val="59595B"/>
        </w:rPr>
      </w:r>
    </w:p>
    <w:p>
      <w:r>
        <w:rPr>
          <w:rFonts w:ascii="Open Sans" w:hAnsi="Open Sans" w:cs="Open Sans"/>
          <w:color w:val="59595B"/>
        </w:rPr>
      </w:r>
      <w:r>
        <w:rPr>
          <w:rFonts w:ascii="Open Sans" w:hAnsi="Open Sans" w:cs="Open Sans"/>
          <w:b/>
          <w:color w:val="59595B"/>
        </w:rPr>
        <w:t>Countersigned:</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Shelja Mehta</w:t>
        <w:br/>
      </w:r>
      <w:r>
        <w:rPr>
          <w:rFonts w:ascii="Open Sans" w:hAnsi="Open Sans" w:cs="Open Sans"/>
          <w:color w:val="59595B"/>
        </w:rPr>
        <w:t>HR Head — India</w:t>
        <w:br/>
      </w:r>
      <w:r>
        <w:rPr>
          <w:rFonts w:ascii="Open Sans" w:hAnsi="Open Sans" w:cs="Open Sans"/>
          <w:color w:val="59595B"/>
        </w:rPr>
        <w:t>smehta@technijian.com</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EMPLOYEE ACKNOWLEDGEMENT OF RECEIPT</w:t>
      </w:r>
      <w:r>
        <w:rPr>
          <w:rFonts w:ascii="Open Sans" w:hAnsi="Open Sans" w:cs="Open Sans"/>
          <w:color w:val="59595B"/>
        </w:rPr>
      </w:r>
    </w:p>
    <w:p>
      <w:r>
        <w:rPr>
          <w:rFonts w:ascii="Open Sans" w:hAnsi="Open Sans" w:cs="Open Sans"/>
          <w:color w:val="59595B"/>
        </w:rPr>
      </w:r>
      <w:r>
        <w:rPr>
          <w:rFonts w:ascii="Open Sans" w:hAnsi="Open Sans" w:cs="Open Sans"/>
          <w:color w:val="59595B"/>
        </w:rPr>
        <w:t>I, &lt;Employee Name&gt;, Employee ID &lt;Emp ID&gt;, confirm that I have received this Order of Suspension Pending Domestic Inquiry dated &lt;DD Month YYYY&gt;. I confirm surrender of Company property listed above (or undertake to surrender by the stipulated date).</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___</w:t>
        <w:br/>
      </w:r>
      <w:r>
        <w:rPr>
          <w:rFonts w:ascii="Open Sans" w:hAnsi="Open Sans" w:cs="Open Sans"/>
          <w:color w:val="59595B"/>
        </w:rPr>
        <w:t>Name: &lt;Employee Name&gt;</w:t>
        <w:br/>
      </w:r>
      <w:r>
        <w:rPr>
          <w:rFonts w:ascii="Open Sans" w:hAnsi="Open Sans" w:cs="Open Sans"/>
          <w:color w:val="59595B"/>
        </w:rPr>
        <w:t>Employee ID: &lt;Emp ID&gt;</w:t>
        <w:br/>
      </w:r>
      <w:r>
        <w:rPr>
          <w:rFonts w:ascii="Open Sans" w:hAnsi="Open Sans" w:cs="Open Sans"/>
          <w:color w:val="59595B"/>
        </w:rPr>
        <w:t>Date &amp; Time of Receipt: &lt;DD Month YYYY&gt;, &lt;HH:MM hrs&gt;</w:t>
      </w:r>
      <w:r>
        <w:rPr>
          <w:rFonts w:ascii="Open Sans" w:hAnsi="Open Sans" w:cs="Open Sans"/>
          <w:color w:val="59595B"/>
        </w:rPr>
      </w:r>
    </w:p>
    <w:p>
      <w:r>
        <w:rPr>
          <w:rFonts w:ascii="Open Sans" w:hAnsi="Open Sans" w:cs="Open Sans"/>
          <w:color w:val="59595B"/>
        </w:rPr>
      </w:r>
      <w:r>
        <w:rPr>
          <w:rFonts w:ascii="Open Sans" w:hAnsi="Open Sans" w:cs="Open Sans"/>
          <w:i/>
          <w:color w:val="59595B"/>
        </w:rPr>
        <w:t>(If the employee refuses to acknowledge, two Company witnesses shall record the fact of tender and refusal below.)</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Witness 1: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 xml:space="preserve">_ Witness 2: </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w:t>
      </w:r>
    </w:p>
    <w:sectPr w:rsidR="00FC693F" w:rsidRPr="0006063C" w:rsidSect="00034616">
      <w:headerReference w:type="default" r:id="rId9"/>
      <w:footerReference w:type="default" r:id="rId10"/>
      <w:pgSz w:w="12240" w:h="15840"/>
      <w:pgMar w:top="1872" w:right="1224" w:bottom="1440"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10" w:type="dxa"/>
            <w:right w:w="0" w:type="dxa"/>
            <w:bottom w:w="10" w:type="dxa"/>
            <w:left w:w="0" w:type="dxa"/>
          </w:tcMar>
          <w:shd w:val="clear" w:color="auto" w:fill="006DB6"/>
        </w:tcPr>
        <w:p>
          <w:pPr>
            <w:spacing w:before="0" w:after="0"/>
          </w:pPr>
        </w:p>
      </w:tc>
    </w:tr>
  </w:tbl>
  <w:p>
    <w:pPr>
      <w:spacing w:before="80" w:after="0"/>
      <w:jc w:val="center"/>
    </w:pPr>
    <w:r>
      <w:rPr>
        <w:rFonts w:ascii="Open Sans" w:hAnsi="Open Sans" w:cs="Open Sans"/>
        <w:b w:val="0"/>
        <w:color w:val="59595B"/>
        <w:sz w:val="16"/>
      </w:rPr>
      <w:t>Technijian  |  Managed IT  •  Cybersecurity  •  Cloud  •  AI Development</w:t>
    </w:r>
  </w:p>
  <w:p>
    <w:pPr>
      <w:spacing w:before="0" w:after="0"/>
      <w:jc w:val="center"/>
    </w:pPr>
    <w:r>
      <w:rPr>
        <w:rFonts w:ascii="Open Sans" w:hAnsi="Open Sans" w:cs="Open Sans"/>
        <w:b w:val="0"/>
        <w:color w:val="E9ECEF"/>
        <w:sz w:val="14"/>
      </w:rPr>
      <w:t>Confidential — Internal HR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168"/>
      <w:gridCol w:w="6192"/>
    </w:tblGrid>
    <w:tr>
      <w:tc>
        <w:tcPr>
          <w:tcW w:type="dxa" w:w="3168"/>
          <w:tcBorders>
            <w:top w:val="nil"/>
            <w:left w:val="nil"/>
            <w:bottom w:val="nil"/>
            <w:right w:val="nil"/>
          </w:tcBorders>
          <w:tcMar>
            <w:top w:w="0" w:type="dxa"/>
            <w:right w:w="0" w:type="dxa"/>
            <w:bottom w:w="0" w:type="dxa"/>
            <w:left w:w="0" w:type="dxa"/>
          </w:tcMar>
          <w:vAlign w:val="center"/>
        </w:tcPr>
        <w:p>
          <w:pPr>
            <w:jc w:val="left"/>
          </w:pPr>
          <w:r>
            <w:drawing>
              <wp:inline xmlns:a="http://schemas.openxmlformats.org/drawingml/2006/main" xmlns:pic="http://schemas.openxmlformats.org/drawingml/2006/picture">
                <wp:extent cx="1737360" cy="3619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737360" cy="361950"/>
                        </a:xfrm>
                        <a:prstGeom prst="rect"/>
                      </pic:spPr>
                    </pic:pic>
                  </a:graphicData>
                </a:graphic>
              </wp:inline>
            </w:drawing>
          </w:r>
        </w:p>
      </w:tc>
      <w:tc>
        <w:tcPr>
          <w:tcW w:type="dxa" w:w="6192"/>
          <w:tcBorders>
            <w:top w:val="nil"/>
            <w:left w:val="nil"/>
            <w:bottom w:val="nil"/>
            <w:right w:val="nil"/>
          </w:tcBorders>
          <w:tcMar>
            <w:top w:w="0" w:type="dxa"/>
            <w:right w:w="0" w:type="dxa"/>
            <w:bottom w:w="0" w:type="dxa"/>
            <w:left w:w="0" w:type="dxa"/>
          </w:tcMar>
          <w:vAlign w:val="center"/>
        </w:tcPr>
        <w:p>
          <w:pPr>
            <w:spacing w:before="0" w:after="0"/>
            <w:jc w:val="right"/>
          </w:pPr>
          <w:r>
            <w:rPr>
              <w:rFonts w:ascii="Open Sans" w:hAnsi="Open Sans" w:cs="Open Sans"/>
              <w:b/>
              <w:color w:val="1A1A2E"/>
              <w:sz w:val="18"/>
            </w:rPr>
            <w:t>Technijian IT Services Pvt. Ltd.</w:t>
          </w:r>
        </w:p>
        <w:p>
          <w:pPr>
            <w:spacing w:before="0" w:after="0"/>
            <w:jc w:val="right"/>
          </w:pPr>
          <w:r>
            <w:rPr>
              <w:rFonts w:ascii="Open Sans" w:hAnsi="Open Sans" w:cs="Open Sans"/>
              <w:b w:val="0"/>
              <w:color w:val="59595B"/>
              <w:sz w:val="16"/>
            </w:rPr>
            <w:t>Plot No. 07, 1st Floor, Panchkula IT Park, Panchkula, Haryana 134109</w:t>
          </w:r>
        </w:p>
        <w:p>
          <w:pPr>
            <w:spacing w:before="0" w:after="0"/>
            <w:jc w:val="right"/>
          </w:pPr>
          <w:r>
            <w:rPr>
              <w:rFonts w:ascii="Open Sans" w:hAnsi="Open Sans" w:cs="Open Sans"/>
              <w:b w:val="0"/>
              <w:color w:val="59595B"/>
              <w:sz w:val="16"/>
            </w:rPr>
            <w:t>hr-india@technijian.com</w:t>
          </w:r>
          <w:r>
            <w:rPr>
              <w:rFonts w:ascii="Open Sans" w:hAnsi="Open Sans" w:cs="Open Sans"/>
              <w:b w:val="0"/>
              <w:color w:val="E9ECEF"/>
              <w:sz w:val="16"/>
            </w:rPr>
            <w:t xml:space="preserve">   |   </w:t>
          </w:r>
          <w:r>
            <w:rPr>
              <w:rFonts w:ascii="Open Sans" w:hAnsi="Open Sans" w:cs="Open Sans"/>
              <w:b w:val="0"/>
              <w:color w:val="006DB6"/>
              <w:sz w:val="16"/>
            </w:rPr>
            <w:t>technijian.com</w:t>
          </w:r>
        </w:p>
      </w:tc>
    </w:tr>
  </w:tbl>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20" w:type="dxa"/>
            <w:right w:w="0" w:type="dxa"/>
            <w:bottom w:w="20" w:type="dxa"/>
            <w:left w:w="0" w:type="dxa"/>
          </w:tcMar>
          <w:shd w:val="clear" w:color="auto" w:fill="F67D4B"/>
        </w:tcPr>
        <w:p>
          <w:pPr>
            <w:spacing w:before="0" w:after="0"/>
          </w:pPr>
        </w:p>
      </w:tc>
    </w:tr>
  </w:tbl>
  <w:p>
    <w:pPr>
      <w:spacing w:before="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006D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