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ORDER OF TERMINATION OF SERVICE FOR CAUSE</w:t>
      </w:r>
      <w:r>
        <w:rPr>
          <w:rFonts w:ascii="Open Sans" w:hAnsi="Open Sans" w:cs="Open Sans"/>
          <w:color w:val="59595B"/>
        </w:rPr>
      </w:r>
    </w:p>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TERM/YYYY/NN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Termination of Service for Cause pursuant to Domestic Inquiry (Charge Sheet Ref: CS/YYYY/NN)</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1.01 This Order is issued by Technijian IT Services Pvt. Ltd. (the "Company") in exercise of its authority as the Disciplinary Authority under [Clause X.Y of the Employee Handbook], consistent with the principles of natural justice recognized by Indian courts (including </w:t>
      </w:r>
      <w:r>
        <w:rPr>
          <w:rFonts w:ascii="Open Sans" w:hAnsi="Open Sans" w:cs="Open Sans"/>
          <w:i/>
          <w:color w:val="59595B"/>
        </w:rPr>
        <w:t>Indian Iron &amp; Steel Co. Ltd. v. Workmen</w:t>
      </w:r>
      <w:r>
        <w:rPr>
          <w:rFonts w:ascii="Open Sans" w:hAnsi="Open Sans" w:cs="Open Sans"/>
          <w:color w:val="59595B"/>
        </w:rPr>
        <w:t xml:space="preserve">; </w:t>
      </w:r>
      <w:r>
        <w:rPr>
          <w:rFonts w:ascii="Open Sans" w:hAnsi="Open Sans" w:cs="Open Sans"/>
          <w:i/>
          <w:color w:val="59595B"/>
        </w:rPr>
        <w:t>Managing Director, ECIL v. B. Karunakar</w:t>
      </w:r>
      <w:r>
        <w:rPr>
          <w:rFonts w:ascii="Open Sans" w:hAnsi="Open Sans" w:cs="Open Sans"/>
          <w:color w:val="59595B"/>
        </w:rPr>
        <w:t xml:space="preserve">; </w:t>
      </w:r>
      <w:r>
        <w:rPr>
          <w:rFonts w:ascii="Open Sans" w:hAnsi="Open Sans" w:cs="Open Sans"/>
          <w:i/>
          <w:color w:val="59595B"/>
        </w:rPr>
        <w:t>Hotel Imperial v. Hotel Workers' Union</w:t>
      </w:r>
      <w:r>
        <w:rPr>
          <w:rFonts w:ascii="Open Sans" w:hAnsi="Open Sans" w:cs="Open Sans"/>
          <w:color w:val="59595B"/>
        </w:rPr>
        <w:t>), and, where applicable, the Industrial Employment (Standing Orders) Act, 1946.</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1.02 </w:t>
      </w:r>
      <w:r>
        <w:rPr>
          <w:rFonts w:ascii="Open Sans" w:hAnsi="Open Sans" w:cs="Open Sans"/>
          <w:b/>
          <w:color w:val="59595B"/>
        </w:rPr>
        <w:t>Procedural History</w:t>
        <w:br/>
      </w:r>
      <w:r>
        <w:rPr>
          <w:rFonts w:ascii="Open Sans" w:hAnsi="Open Sans" w:cs="Open Sans"/>
          <w:color w:val="59595B"/>
        </w:rPr>
        <w:t>1.02.1 Show Cause Notice dated &lt;DD Month YYYY&gt; (Ref: SCN/YYYY/NN); your reply dated &lt;DD Month YYYY&gt; (or absence thereof).</w:t>
        <w:br/>
      </w:r>
      <w:r>
        <w:rPr>
          <w:rFonts w:ascii="Open Sans" w:hAnsi="Open Sans" w:cs="Open Sans"/>
          <w:color w:val="59595B"/>
        </w:rPr>
        <w:t xml:space="preserve">1.02.2 Order of Suspension Pending Inquiry dated &lt;DD Month YYYY&gt; (Ref: SUSP/YYYY/NN). </w:t>
      </w:r>
      <w:r>
        <w:rPr>
          <w:rFonts w:ascii="Open Sans" w:hAnsi="Open Sans" w:cs="Open Sans"/>
          <w:i/>
          <w:color w:val="59595B"/>
        </w:rPr>
        <w:t>(Delete if none.)</w:t>
        <w:br/>
      </w:r>
      <w:r>
        <w:rPr>
          <w:rFonts w:ascii="Open Sans" w:hAnsi="Open Sans" w:cs="Open Sans"/>
          <w:color w:val="59595B"/>
        </w:rPr>
        <w:t>1.02.3 Charge Sheet dated &lt;DD Month YYYY&gt; (Ref: CS/YYYY/NN); your reply dated &lt;DD Month YYYY&gt;.</w:t>
        <w:br/>
      </w:r>
      <w:r>
        <w:rPr>
          <w:rFonts w:ascii="Open Sans" w:hAnsi="Open Sans" w:cs="Open Sans"/>
          <w:color w:val="59595B"/>
        </w:rPr>
        <w:t>1.02.4 Notice of Domestic Inquiry dated &lt;DD Month YYYY&gt; (Ref: INQ/YYYY/NN).</w:t>
        <w:br/>
      </w:r>
      <w:r>
        <w:rPr>
          <w:rFonts w:ascii="Open Sans" w:hAnsi="Open Sans" w:cs="Open Sans"/>
          <w:color w:val="59595B"/>
        </w:rPr>
        <w:t>1.02.5 Domestic inquiry conducted on &lt;DD Month YYYY&gt; and subsequent dates by the Inquiry Officer, &lt;Name, Designation&gt;.</w:t>
        <w:br/>
      </w:r>
      <w:r>
        <w:rPr>
          <w:rFonts w:ascii="Open Sans" w:hAnsi="Open Sans" w:cs="Open Sans"/>
          <w:color w:val="59595B"/>
        </w:rPr>
        <w:t xml:space="preserve">1.02.6 </w:t>
      </w:r>
      <w:r>
        <w:rPr>
          <w:rFonts w:ascii="Open Sans" w:hAnsi="Open Sans" w:cs="Open Sans"/>
          <w:b/>
          <w:color w:val="59595B"/>
        </w:rPr>
        <w:t>Inquiry Report</w:t>
      </w:r>
      <w:r>
        <w:rPr>
          <w:rFonts w:ascii="Open Sans" w:hAnsi="Open Sans" w:cs="Open Sans"/>
          <w:color w:val="59595B"/>
        </w:rPr>
        <w:t xml:space="preserve"> dated &lt;DD Month YYYY&gt;, a copy of which was furnished to you on &lt;DD Month YYYY&gt;.</w:t>
        <w:br/>
      </w:r>
      <w:r>
        <w:rPr>
          <w:rFonts w:ascii="Open Sans" w:hAnsi="Open Sans" w:cs="Open Sans"/>
          <w:color w:val="59595B"/>
        </w:rPr>
        <w:t>1.02.7 Your representation on the Inquiry Report dated &lt;DD Month YYYY&gt; (or absence thereof), considered on merits by the Disciplinary Authority.</w:t>
      </w:r>
      <w:r>
        <w:rPr>
          <w:rFonts w:ascii="Open Sans" w:hAnsi="Open Sans" w:cs="Open Sans"/>
          <w:color w:val="59595B"/>
        </w:rPr>
      </w:r>
    </w:p>
    <w:p>
      <w:r>
        <w:rPr>
          <w:rFonts w:ascii="Open Sans" w:hAnsi="Open Sans" w:cs="Open Sans"/>
          <w:color w:val="59595B"/>
        </w:rPr>
      </w:r>
      <w:r>
        <w:rPr>
          <w:rFonts w:ascii="Open Sans" w:hAnsi="Open Sans" w:cs="Open Sans"/>
          <w:b/>
          <w:color w:val="59595B"/>
        </w:rPr>
        <w:t>2.00 Findings of the Disciplinary Authority</w:t>
      </w:r>
      <w:r>
        <w:rPr>
          <w:rFonts w:ascii="Open Sans" w:hAnsi="Open Sans" w:cs="Open Sans"/>
          <w:color w:val="59595B"/>
        </w:rPr>
      </w:r>
    </w:p>
    <w:p>
      <w:r>
        <w:rPr>
          <w:rFonts w:ascii="Open Sans" w:hAnsi="Open Sans" w:cs="Open Sans"/>
          <w:color w:val="59595B"/>
        </w:rPr>
      </w:r>
      <w:r>
        <w:rPr>
          <w:rFonts w:ascii="Open Sans" w:hAnsi="Open Sans" w:cs="Open Sans"/>
          <w:color w:val="59595B"/>
        </w:rPr>
        <w:t>2.01 The Disciplinary Authority has independently reviewed the Inquiry Report, the record of proceedings, the documents exhibited, the oral evidence, your written reply, and your representation on the Inquiry Report.</w:t>
      </w:r>
      <w:r>
        <w:rPr>
          <w:rFonts w:ascii="Open Sans" w:hAnsi="Open Sans" w:cs="Open Sans"/>
          <w:color w:val="59595B"/>
        </w:rPr>
      </w:r>
    </w:p>
    <w:p>
      <w:r>
        <w:rPr>
          <w:rFonts w:ascii="Open Sans" w:hAnsi="Open Sans" w:cs="Open Sans"/>
          <w:color w:val="59595B"/>
        </w:rPr>
      </w:r>
      <w:r>
        <w:rPr>
          <w:rFonts w:ascii="Open Sans" w:hAnsi="Open Sans" w:cs="Open Sans"/>
          <w:color w:val="59595B"/>
        </w:rPr>
        <w:t>2.02 The Disciplinary Authority is satisfied that:</w:t>
        <w:br/>
      </w:r>
      <w:r>
        <w:rPr>
          <w:rFonts w:ascii="Open Sans" w:hAnsi="Open Sans" w:cs="Open Sans"/>
          <w:color w:val="59595B"/>
        </w:rPr>
        <w:t>2.02.1 the inquiry was conducted in a fair and impartial manner;</w:t>
        <w:br/>
      </w:r>
      <w:r>
        <w:rPr>
          <w:rFonts w:ascii="Open Sans" w:hAnsi="Open Sans" w:cs="Open Sans"/>
          <w:color w:val="59595B"/>
        </w:rPr>
        <w:t>2.02.2 the principles of natural justice were observed throughout; and</w:t>
        <w:br/>
      </w:r>
      <w:r>
        <w:rPr>
          <w:rFonts w:ascii="Open Sans" w:hAnsi="Open Sans" w:cs="Open Sans"/>
          <w:color w:val="59595B"/>
        </w:rPr>
        <w:t xml:space="preserve">2.02.3 the following charges framed against you stand </w:t>
      </w:r>
      <w:r>
        <w:rPr>
          <w:rFonts w:ascii="Open Sans" w:hAnsi="Open Sans" w:cs="Open Sans"/>
          <w:b/>
          <w:color w:val="59595B"/>
        </w:rPr>
        <w:t>PROVED</w:t>
      </w:r>
      <w:r>
        <w:rPr>
          <w:rFonts w:ascii="Open Sans" w:hAnsi="Open Sans" w:cs="Open Sans"/>
          <w:color w:val="59595B"/>
        </w:rPr>
        <w:t xml:space="preserve"> on a preponderance of evidence:</w:t>
      </w:r>
      <w:r>
        <w:rPr>
          <w:rFonts w:ascii="Open Sans" w:hAnsi="Open Sans" w:cs="Open Sans"/>
          <w:color w:val="59595B"/>
        </w:rPr>
      </w:r>
    </w:p>
    <w:p>
      <w:r>
        <w:rPr>
          <w:rFonts w:ascii="Open Sans" w:hAnsi="Open Sans" w:cs="Open Sans"/>
          <w:color w:val="59595B"/>
        </w:rPr>
      </w:r>
      <w:r>
        <w:rPr>
          <w:rFonts w:ascii="Open Sans" w:hAnsi="Open Sans" w:cs="Open Sans"/>
          <w:color w:val="59595B"/>
        </w:rPr>
        <w:t>1. **Charge 1 — &amp;lt;Short title&amp;gt;:** PROVED. *(Brief reason, 1-2 lines.)*</w:t>
        <w:br/>
        <w:t>2. **Charge 2 — &amp;lt;Short title&amp;gt;:** PROVED. *(Brief reason.)*</w:t>
        <w:br/>
        <w:t>3. **Charge 3 — &amp;lt;Short title&amp;gt;:** NOT PROVED / PARTLY PROVED. *(Optional — delete if not applicable.)*</w:t>
        <w:b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2.03 Having regard to the </w:t>
      </w:r>
      <w:r>
        <w:rPr>
          <w:rFonts w:ascii="Open Sans" w:hAnsi="Open Sans" w:cs="Open Sans"/>
          <w:b/>
          <w:color w:val="59595B"/>
        </w:rPr>
        <w:t>gravity</w:t>
      </w:r>
      <w:r>
        <w:rPr>
          <w:rFonts w:ascii="Open Sans" w:hAnsi="Open Sans" w:cs="Open Sans"/>
          <w:color w:val="59595B"/>
        </w:rPr>
        <w:t xml:space="preserve"> of the proven misconduct, your </w:t>
      </w:r>
      <w:r>
        <w:rPr>
          <w:rFonts w:ascii="Open Sans" w:hAnsi="Open Sans" w:cs="Open Sans"/>
          <w:b/>
          <w:color w:val="59595B"/>
        </w:rPr>
        <w:t>past record</w:t>
      </w:r>
      <w:r>
        <w:rPr>
          <w:rFonts w:ascii="Open Sans" w:hAnsi="Open Sans" w:cs="Open Sans"/>
          <w:color w:val="59595B"/>
        </w:rPr>
        <w:t xml:space="preserve"> (including the Verbal Warning dated </w:t>
      </w:r>
      <w:r>
        <w:rPr>
          <w:rFonts w:ascii="Open Sans" w:hAnsi="Open Sans" w:cs="Open Sans"/>
          <w:b/>
          <w:i/>
          <w:color w:val="59595B"/>
        </w:rPr>
        <w:t xml:space="preserve">, Written Warning dated </w:t>
      </w:r>
      <w:r>
        <w:rPr>
          <w:rFonts w:ascii="Open Sans" w:hAnsi="Open Sans" w:cs="Open Sans"/>
          <w:color w:val="59595B"/>
        </w:rPr>
        <w:t xml:space="preserve">, and Final Warning dated ___ </w:t>
      </w:r>
      <w:r>
        <w:rPr>
          <w:rFonts w:ascii="Open Sans" w:hAnsi="Open Sans" w:cs="Open Sans"/>
          <w:i/>
          <w:color w:val="59595B"/>
        </w:rPr>
        <w:t>— delete those not applicable</w:t>
      </w:r>
      <w:r>
        <w:rPr>
          <w:rFonts w:ascii="Open Sans" w:hAnsi="Open Sans" w:cs="Open Sans"/>
          <w:color w:val="59595B"/>
        </w:rPr>
        <w:t>), the interests of the Company, its employees, clients, and other stakeholders, the Disciplinary Authority finds that the proven misconduct is incompatible with continued employment.</w:t>
      </w:r>
      <w:r>
        <w:rPr>
          <w:rFonts w:ascii="Open Sans" w:hAnsi="Open Sans" w:cs="Open Sans"/>
          <w:color w:val="59595B"/>
        </w:rPr>
      </w:r>
    </w:p>
    <w:p>
      <w:r>
        <w:rPr>
          <w:rFonts w:ascii="Open Sans" w:hAnsi="Open Sans" w:cs="Open Sans"/>
          <w:color w:val="59595B"/>
        </w:rPr>
      </w:r>
      <w:r>
        <w:rPr>
          <w:rFonts w:ascii="Open Sans" w:hAnsi="Open Sans" w:cs="Open Sans"/>
          <w:b/>
          <w:color w:val="59595B"/>
        </w:rPr>
        <w:t>3.00 Order of Termination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3.01 In exercise of the Company's authority as the Disciplinary Authority under [Clause X.Y of the Employee Handbook], and consistent with applicable law, it is hereby ordered that your services with Technijian IT Services Pvt. Ltd. stand </w:t>
      </w:r>
      <w:r>
        <w:rPr>
          <w:rFonts w:ascii="Open Sans" w:hAnsi="Open Sans" w:cs="Open Sans"/>
          <w:b/>
          <w:color w:val="59595B"/>
        </w:rPr>
        <w:t>TERMINATED FOR CAUSE with effect from the close of business on &lt;DD Month YYYY&gt;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3.02 </w:t>
      </w:r>
      <w:r>
        <w:rPr>
          <w:rFonts w:ascii="Open Sans" w:hAnsi="Open Sans" w:cs="Open Sans"/>
          <w:b/>
          <w:color w:val="59595B"/>
        </w:rPr>
        <w:t>No Notice Pay:</w:t>
      </w:r>
      <w:r>
        <w:rPr>
          <w:rFonts w:ascii="Open Sans" w:hAnsi="Open Sans" w:cs="Open Sans"/>
          <w:color w:val="59595B"/>
        </w:rPr>
        <w:t xml:space="preserve"> Since the termination is the consequence of proven misconduct following a domestic inquiry, you are </w:t>
      </w:r>
      <w:r>
        <w:rPr>
          <w:rFonts w:ascii="Open Sans" w:hAnsi="Open Sans" w:cs="Open Sans"/>
          <w:b/>
          <w:color w:val="59595B"/>
        </w:rPr>
        <w:t>NOT entitled to notice period, notice pay, severance, or any payment in lieu of notice</w:t>
      </w:r>
      <w:r>
        <w:rPr>
          <w:rFonts w:ascii="Open Sans" w:hAnsi="Open Sans" w:cs="Open Sans"/>
          <w:color w:val="59595B"/>
        </w:rPr>
        <w:t xml:space="preserve"> under your Appointment Letter or the Employee Handbook.</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3.03 This termination is </w:t>
      </w:r>
      <w:r>
        <w:rPr>
          <w:rFonts w:ascii="Open Sans" w:hAnsi="Open Sans" w:cs="Open Sans"/>
          <w:b/>
          <w:color w:val="59595B"/>
        </w:rPr>
        <w:t>distinct from</w:t>
      </w:r>
      <w:r>
        <w:rPr>
          <w:rFonts w:ascii="Open Sans" w:hAnsi="Open Sans" w:cs="Open Sans"/>
          <w:color w:val="59595B"/>
        </w:rPr>
        <w:t xml:space="preserve"> a termination during probation or a termination with notice, both of which are governed by separate clauses.</w:t>
      </w:r>
      <w:r>
        <w:rPr>
          <w:rFonts w:ascii="Open Sans" w:hAnsi="Open Sans" w:cs="Open Sans"/>
          <w:color w:val="59595B"/>
        </w:rPr>
      </w:r>
    </w:p>
    <w:p>
      <w:r>
        <w:rPr>
          <w:rFonts w:ascii="Open Sans" w:hAnsi="Open Sans" w:cs="Open Sans"/>
          <w:color w:val="59595B"/>
        </w:rPr>
      </w:r>
      <w:r>
        <w:rPr>
          <w:rFonts w:ascii="Open Sans" w:hAnsi="Open Sans" w:cs="Open Sans"/>
          <w:b/>
          <w:color w:val="59595B"/>
        </w:rPr>
        <w:t>4.00 Full &amp; Final Settlement ("F&amp;F")</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4.01 Your F&amp;F shall be computed and released within </w:t>
      </w:r>
      <w:r>
        <w:rPr>
          <w:rFonts w:ascii="Open Sans" w:hAnsi="Open Sans" w:cs="Open Sans"/>
          <w:b/>
          <w:color w:val="59595B"/>
        </w:rPr>
        <w:t>30 to 45 (thirty to forty-five) calendar days</w:t>
      </w:r>
      <w:r>
        <w:rPr>
          <w:rFonts w:ascii="Open Sans" w:hAnsi="Open Sans" w:cs="Open Sans"/>
          <w:color w:val="59595B"/>
        </w:rPr>
        <w:t xml:space="preserve"> from the effective date of termination above, subject to your clearance and surrender of Company property (Clause 6.00 below), and shall comprise the following heads:</w:t>
      </w:r>
      <w:r>
        <w:rPr>
          <w:rFonts w:ascii="Open Sans" w:hAnsi="Open Sans" w:cs="Open Sans"/>
          <w:color w:val="59595B"/>
        </w:rPr>
      </w:r>
    </w:p>
    <w:p>
      <w:r>
        <w:rPr>
          <w:rFonts w:ascii="Open Sans" w:hAnsi="Open Sans" w:cs="Open Sans"/>
          <w:color w:val="59595B"/>
        </w:rPr>
      </w:r>
      <w:r>
        <w:rPr>
          <w:rFonts w:ascii="Open Sans" w:hAnsi="Open Sans" w:cs="Open Sans"/>
          <w:color w:val="59595B"/>
        </w:rPr>
        <w:t>4.01.1 **Earned but unpaid salary** up to and including the effective date of termination, subject to statutory deductions.</w:t>
        <w:br/>
        <w:t>4.01.2 **Subsistence allowance paid during suspension** (if any) — already disbursed; no adjustment unless expressly ordered.</w:t>
        <w:br/>
        <w:t>4.01.3 **Leave encashment** of accumulated and encashable earned leave, as per Company policy and the Punjab Shops and Commercial Establishments Act, 1958 (as applicable in Haryana).</w:t>
        <w:br/>
        <w:t>4.01.4 **Provident Fund** — your accumulated EPF balance is withdrawable / transferable under the Employees' Provident Funds and Miscellaneous Provisions Act, 1952; the Company shall remit the employer's contribution up to the effective date and file Form 19 / Form 10C / UAN update as required.</w:t>
        <w:br/>
        <w:t>4.01.5 **ESI dues** — credited up to the effective date, where applicable under the Employees' State Insurance Act, 1948.</w:t>
        <w:br/>
        <w:t>4.01.6 **Gratuity** (only if you have completed 5 (five) years of continuous service under Section 4 of the Payment of Gratuity Act, 1972) — **SUBJECT TO FORFEITURE UNDER SECTION 4(6)** of the said Act, to the extent the proven misconduct involves (a) wilful omission or negligence causing damage or loss to, or destruction of, property belonging to the Company, or (b) riotous or disorderly conduct or any other act of violence, or (c) an offence involving moral turpitude committed in the course of employment. The Disciplinary Authority shall pass a separate reasoned order on the extent of forfeiture, consistent with the proviso to Section 4(6).</w:t>
        <w:br/>
        <w:t>4.01.7 **Bonus under the Payment of Bonus Act, 1965** — subject to disqualification under Section 9 of the said Act, where applicable.</w:t>
        <w:br/>
        <w:t>4.01.8 **Less:** recovery of Company advances, training bond (if enforceable), loss caused to Company property (on assessment), excess leave availed, notice pay shortfall (where applicable), and any sums lawfully recoverable.</w:t>
        <w:br/>
      </w:r>
      <w:r>
        <w:rPr>
          <w:rFonts w:ascii="Open Sans" w:hAnsi="Open Sans" w:cs="Open Sans"/>
          <w:color w:val="59595B"/>
        </w:rPr>
      </w:r>
    </w:p>
    <w:p>
      <w:r>
        <w:rPr>
          <w:rFonts w:ascii="Open Sans" w:hAnsi="Open Sans" w:cs="Open Sans"/>
          <w:color w:val="59595B"/>
        </w:rPr>
      </w:r>
      <w:r>
        <w:rPr>
          <w:rFonts w:ascii="Open Sans" w:hAnsi="Open Sans" w:cs="Open Sans"/>
          <w:color w:val="59595B"/>
        </w:rPr>
        <w:t>4.02 TDS under the Income-tax Act, 1961 shall apply. Form 16 shall be issued in the next filing cycle.</w:t>
      </w:r>
      <w:r>
        <w:rPr>
          <w:rFonts w:ascii="Open Sans" w:hAnsi="Open Sans" w:cs="Open Sans"/>
          <w:color w:val="59595B"/>
        </w:rPr>
      </w:r>
    </w:p>
    <w:p>
      <w:r>
        <w:rPr>
          <w:rFonts w:ascii="Open Sans" w:hAnsi="Open Sans" w:cs="Open Sans"/>
          <w:color w:val="59595B"/>
        </w:rPr>
      </w:r>
      <w:r>
        <w:rPr>
          <w:rFonts w:ascii="Open Sans" w:hAnsi="Open Sans" w:cs="Open Sans"/>
          <w:b/>
          <w:color w:val="59595B"/>
        </w:rPr>
        <w:t>5.00 Post-Separation Obligations (Survive Termination)</w:t>
      </w:r>
      <w:r>
        <w:rPr>
          <w:rFonts w:ascii="Open Sans" w:hAnsi="Open Sans" w:cs="Open Sans"/>
          <w:color w:val="59595B"/>
        </w:rPr>
      </w:r>
    </w:p>
    <w:p>
      <w:r>
        <w:rPr>
          <w:rFonts w:ascii="Open Sans" w:hAnsi="Open Sans" w:cs="Open Sans"/>
          <w:color w:val="59595B"/>
        </w:rPr>
      </w:r>
      <w:r>
        <w:rPr>
          <w:rFonts w:ascii="Open Sans" w:hAnsi="Open Sans" w:cs="Open Sans"/>
          <w:color w:val="59595B"/>
        </w:rPr>
        <w:t>5.01 The following obligations from your Appointment Letter, NDA, and related policies survive termination and continue to bind you:</w:t>
        <w:br/>
      </w:r>
      <w:r>
        <w:rPr>
          <w:rFonts w:ascii="Open Sans" w:hAnsi="Open Sans" w:cs="Open Sans"/>
          <w:color w:val="59595B"/>
        </w:rPr>
        <w:t xml:space="preserve">5.01.1 </w:t>
      </w:r>
      <w:r>
        <w:rPr>
          <w:rFonts w:ascii="Open Sans" w:hAnsi="Open Sans" w:cs="Open Sans"/>
          <w:b/>
          <w:color w:val="59595B"/>
        </w:rPr>
        <w:t>Confidentiality</w:t>
      </w:r>
      <w:r>
        <w:rPr>
          <w:rFonts w:ascii="Open Sans" w:hAnsi="Open Sans" w:cs="Open Sans"/>
          <w:color w:val="59595B"/>
        </w:rPr>
        <w:t xml:space="preserve"> — perpetual obligation over Company and client confidential information.</w:t>
        <w:br/>
      </w:r>
      <w:r>
        <w:rPr>
          <w:rFonts w:ascii="Open Sans" w:hAnsi="Open Sans" w:cs="Open Sans"/>
          <w:color w:val="59595B"/>
        </w:rPr>
        <w:t xml:space="preserve">5.01.2 </w:t>
      </w:r>
      <w:r>
        <w:rPr>
          <w:rFonts w:ascii="Open Sans" w:hAnsi="Open Sans" w:cs="Open Sans"/>
          <w:b/>
          <w:color w:val="59595B"/>
        </w:rPr>
        <w:t>Intellectual Property</w:t>
      </w:r>
      <w:r>
        <w:rPr>
          <w:rFonts w:ascii="Open Sans" w:hAnsi="Open Sans" w:cs="Open Sans"/>
          <w:color w:val="59595B"/>
        </w:rPr>
        <w:t xml:space="preserve"> — all IP created during employment is and remains vested in the Company.</w:t>
        <w:br/>
      </w:r>
      <w:r>
        <w:rPr>
          <w:rFonts w:ascii="Open Sans" w:hAnsi="Open Sans" w:cs="Open Sans"/>
          <w:color w:val="59595B"/>
        </w:rPr>
        <w:t xml:space="preserve">5.01.3 </w:t>
      </w:r>
      <w:r>
        <w:rPr>
          <w:rFonts w:ascii="Open Sans" w:hAnsi="Open Sans" w:cs="Open Sans"/>
          <w:b/>
          <w:color w:val="59595B"/>
        </w:rPr>
        <w:t>Non-Solicitation</w:t>
      </w:r>
      <w:r>
        <w:rPr>
          <w:rFonts w:ascii="Open Sans" w:hAnsi="Open Sans" w:cs="Open Sans"/>
          <w:color w:val="59595B"/>
        </w:rPr>
        <w:t xml:space="preserve"> of Company employees, clients, and business partners for </w:t>
      </w:r>
      <w:r>
        <w:rPr>
          <w:rFonts w:ascii="Open Sans" w:hAnsi="Open Sans" w:cs="Open Sans"/>
          <w:b/>
          <w:color w:val="59595B"/>
        </w:rPr>
        <w:t>12 (twelve) months</w:t>
      </w:r>
      <w:r>
        <w:rPr>
          <w:rFonts w:ascii="Open Sans" w:hAnsi="Open Sans" w:cs="Open Sans"/>
          <w:color w:val="59595B"/>
        </w:rPr>
        <w:t xml:space="preserve"> from the effective date of termination (enforceable under Indian law, consistent with Section 27 of the Indian Contract Act, 1872).</w:t>
        <w:br/>
      </w:r>
      <w:r>
        <w:rPr>
          <w:rFonts w:ascii="Open Sans" w:hAnsi="Open Sans" w:cs="Open Sans"/>
          <w:color w:val="59595B"/>
        </w:rPr>
        <w:t xml:space="preserve">5.01.4 </w:t>
      </w:r>
      <w:r>
        <w:rPr>
          <w:rFonts w:ascii="Open Sans" w:hAnsi="Open Sans" w:cs="Open Sans"/>
          <w:b/>
          <w:color w:val="59595B"/>
        </w:rPr>
        <w:t>Return of Property</w:t>
      </w:r>
      <w:r>
        <w:rPr>
          <w:rFonts w:ascii="Open Sans" w:hAnsi="Open Sans" w:cs="Open Sans"/>
          <w:color w:val="59595B"/>
        </w:rPr>
        <w:t xml:space="preserve"> (Clause 6.00 below).</w:t>
        <w:br/>
      </w:r>
      <w:r>
        <w:rPr>
          <w:rFonts w:ascii="Open Sans" w:hAnsi="Open Sans" w:cs="Open Sans"/>
          <w:color w:val="59595B"/>
        </w:rPr>
        <w:t>5.01.5 Non-disparagement and cooperation with any internal / external investigation, litigation, or audit relating to the period of your employment.</w:t>
        <w:br/>
      </w:r>
      <w:r>
        <w:rPr>
          <w:rFonts w:ascii="Open Sans" w:hAnsi="Open Sans" w:cs="Open Sans"/>
          <w:color w:val="59595B"/>
        </w:rPr>
        <w:t xml:space="preserve">5.01.6 </w:t>
      </w:r>
      <w:r>
        <w:rPr>
          <w:rFonts w:ascii="Open Sans" w:hAnsi="Open Sans" w:cs="Open Sans"/>
          <w:i/>
          <w:color w:val="59595B"/>
        </w:rPr>
        <w:t>Note:</w:t>
      </w:r>
      <w:r>
        <w:rPr>
          <w:rFonts w:ascii="Open Sans" w:hAnsi="Open Sans" w:cs="Open Sans"/>
          <w:color w:val="59595B"/>
        </w:rPr>
        <w:t xml:space="preserve"> Any post-employment non-compete clause (if any) is expressly NOT enforced by the Company, as such restraints are void under Section 27 of the Indian Contract Act, 1872.</w:t>
      </w:r>
      <w:r>
        <w:rPr>
          <w:rFonts w:ascii="Open Sans" w:hAnsi="Open Sans" w:cs="Open Sans"/>
          <w:color w:val="59595B"/>
        </w:rPr>
      </w:r>
    </w:p>
    <w:p>
      <w:r>
        <w:rPr>
          <w:rFonts w:ascii="Open Sans" w:hAnsi="Open Sans" w:cs="Open Sans"/>
          <w:color w:val="59595B"/>
        </w:rPr>
      </w:r>
      <w:r>
        <w:rPr>
          <w:rFonts w:ascii="Open Sans" w:hAnsi="Open Sans" w:cs="Open Sans"/>
          <w:b/>
          <w:color w:val="59595B"/>
        </w:rPr>
        <w:t>6.00 Return of Company Property</w:t>
      </w:r>
      <w:r>
        <w:rPr>
          <w:rFonts w:ascii="Open Sans" w:hAnsi="Open Sans" w:cs="Open Sans"/>
          <w:color w:val="59595B"/>
        </w:rPr>
      </w:r>
    </w:p>
    <w:p>
      <w:r>
        <w:rPr>
          <w:rFonts w:ascii="Open Sans" w:hAnsi="Open Sans" w:cs="Open Sans"/>
          <w:color w:val="59595B"/>
        </w:rPr>
      </w:r>
      <w:r>
        <w:rPr>
          <w:rFonts w:ascii="Open Sans" w:hAnsi="Open Sans" w:cs="Open Sans"/>
          <w:color w:val="59595B"/>
        </w:rPr>
        <w:t>6.01 On or before &lt;DD Month YYYY&gt;, &lt;HH:MM hrs&gt;, you shall surrender to the HR Department all Company property in your possession, including without limitation:</w:t>
        <w:br/>
      </w:r>
      <w:r>
        <w:rPr>
          <w:rFonts w:ascii="Open Sans" w:hAnsi="Open Sans" w:cs="Open Sans"/>
          <w:color w:val="59595B"/>
        </w:rPr>
        <w:t>6.01.1 Laptop and charger, monitors, docking station, Company mobile device, SIM card (if Company-funded);</w:t>
        <w:br/>
      </w:r>
      <w:r>
        <w:rPr>
          <w:rFonts w:ascii="Open Sans" w:hAnsi="Open Sans" w:cs="Open Sans"/>
          <w:color w:val="59595B"/>
        </w:rPr>
        <w:t>6.01.2 ID card, access card, keys, biometric tokens;</w:t>
        <w:br/>
      </w:r>
      <w:r>
        <w:rPr>
          <w:rFonts w:ascii="Open Sans" w:hAnsi="Open Sans" w:cs="Open Sans"/>
          <w:color w:val="59595B"/>
        </w:rPr>
        <w:t>6.01.3 All hard-copy and soft-copy Company records, client documents, source code, and proprietary information;</w:t>
        <w:br/>
      </w:r>
      <w:r>
        <w:rPr>
          <w:rFonts w:ascii="Open Sans" w:hAnsi="Open Sans" w:cs="Open Sans"/>
          <w:color w:val="59595B"/>
        </w:rPr>
        <w:t>6.01.4 Access credentials, authenticator devices, and any Company-issued security tokens;</w:t>
        <w:br/>
      </w:r>
      <w:r>
        <w:rPr>
          <w:rFonts w:ascii="Open Sans" w:hAnsi="Open Sans" w:cs="Open Sans"/>
          <w:color w:val="59595B"/>
        </w:rPr>
        <w:t>6.01.5 Any other asset issued to you during employment.</w:t>
      </w:r>
      <w:r>
        <w:rPr>
          <w:rFonts w:ascii="Open Sans" w:hAnsi="Open Sans" w:cs="Open Sans"/>
          <w:color w:val="59595B"/>
        </w:rPr>
      </w:r>
    </w:p>
    <w:p>
      <w:r>
        <w:rPr>
          <w:rFonts w:ascii="Open Sans" w:hAnsi="Open Sans" w:cs="Open Sans"/>
          <w:color w:val="59595B"/>
        </w:rPr>
      </w:r>
      <w:r>
        <w:rPr>
          <w:rFonts w:ascii="Open Sans" w:hAnsi="Open Sans" w:cs="Open Sans"/>
          <w:color w:val="59595B"/>
        </w:rPr>
        <w:t>6.02 Pending receipt of the above, the F&amp;F shall be held in abeyance and may be adjusted against the value of items not returned.</w:t>
      </w:r>
      <w:r>
        <w:rPr>
          <w:rFonts w:ascii="Open Sans" w:hAnsi="Open Sans" w:cs="Open Sans"/>
          <w:color w:val="59595B"/>
        </w:rPr>
      </w:r>
    </w:p>
    <w:p>
      <w:r>
        <w:rPr>
          <w:rFonts w:ascii="Open Sans" w:hAnsi="Open Sans" w:cs="Open Sans"/>
          <w:color w:val="59595B"/>
        </w:rPr>
      </w:r>
      <w:r>
        <w:rPr>
          <w:rFonts w:ascii="Open Sans" w:hAnsi="Open Sans" w:cs="Open Sans"/>
          <w:b/>
          <w:color w:val="59595B"/>
        </w:rPr>
        <w:t>7.00 Right of Appeal</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7.01 You have the right to appeal this Order to the </w:t>
      </w:r>
      <w:r>
        <w:rPr>
          <w:rFonts w:ascii="Open Sans" w:hAnsi="Open Sans" w:cs="Open Sans"/>
          <w:b/>
          <w:color w:val="59595B"/>
        </w:rPr>
        <w:t>Appellate Authority — Chandra Jain</w:t>
      </w:r>
      <w:r>
        <w:rPr>
          <w:rFonts w:ascii="Open Sans" w:hAnsi="Open Sans" w:cs="Open Sans"/>
          <w:color w:val="59595B"/>
        </w:rPr>
        <w:t xml:space="preserve"> (Appellate Authority designated by the Board for employment-discipline appeals, distinct from the Disciplinary Authority), at the Registered Office of the Company, within </w:t>
      </w:r>
      <w:r>
        <w:rPr>
          <w:rFonts w:ascii="Open Sans" w:hAnsi="Open Sans" w:cs="Open Sans"/>
          <w:b/>
          <w:color w:val="59595B"/>
        </w:rPr>
        <w:t>30 (thirty) calendar days</w:t>
      </w:r>
      <w:r>
        <w:rPr>
          <w:rFonts w:ascii="Open Sans" w:hAnsi="Open Sans" w:cs="Open Sans"/>
          <w:color w:val="59595B"/>
        </w:rPr>
        <w:t xml:space="preserve"> of receipt of this Order.</w:t>
      </w:r>
      <w:r>
        <w:rPr>
          <w:rFonts w:ascii="Open Sans" w:hAnsi="Open Sans" w:cs="Open Sans"/>
          <w:color w:val="59595B"/>
        </w:rPr>
      </w:r>
    </w:p>
    <w:p>
      <w:r>
        <w:rPr>
          <w:rFonts w:ascii="Open Sans" w:hAnsi="Open Sans" w:cs="Open Sans"/>
          <w:color w:val="59595B"/>
        </w:rPr>
      </w:r>
      <w:r>
        <w:rPr>
          <w:rFonts w:ascii="Open Sans" w:hAnsi="Open Sans" w:cs="Open Sans"/>
          <w:color w:val="59595B"/>
        </w:rPr>
        <w:t>7.02 The appeal shall be in writing, setting out the grounds of challenge, and may be accompanied by supporting documents. The Appellate Authority shall consider the appeal on merits and pass a reasoned order.</w:t>
      </w:r>
      <w:r>
        <w:rPr>
          <w:rFonts w:ascii="Open Sans" w:hAnsi="Open Sans" w:cs="Open Sans"/>
          <w:color w:val="59595B"/>
        </w:rPr>
      </w:r>
    </w:p>
    <w:p>
      <w:r>
        <w:rPr>
          <w:rFonts w:ascii="Open Sans" w:hAnsi="Open Sans" w:cs="Open Sans"/>
          <w:color w:val="59595B"/>
        </w:rPr>
      </w:r>
      <w:r>
        <w:rPr>
          <w:rFonts w:ascii="Open Sans" w:hAnsi="Open Sans" w:cs="Open Sans"/>
          <w:color w:val="59595B"/>
        </w:rPr>
        <w:t>7.03 An appeal shall not by itself operate as a stay of this Order. The Appellate Authority may, in its discretion, grant interim relief.</w:t>
      </w:r>
      <w:r>
        <w:rPr>
          <w:rFonts w:ascii="Open Sans" w:hAnsi="Open Sans" w:cs="Open Sans"/>
          <w:color w:val="59595B"/>
        </w:rPr>
      </w:r>
    </w:p>
    <w:p>
      <w:r>
        <w:rPr>
          <w:rFonts w:ascii="Open Sans" w:hAnsi="Open Sans" w:cs="Open Sans"/>
          <w:color w:val="59595B"/>
        </w:rPr>
      </w:r>
      <w:r>
        <w:rPr>
          <w:rFonts w:ascii="Open Sans" w:hAnsi="Open Sans" w:cs="Open Sans"/>
          <w:b/>
          <w:color w:val="59595B"/>
        </w:rPr>
        <w:t>8.00 Experience &amp; Relieving Documents</w:t>
      </w:r>
      <w:r>
        <w:rPr>
          <w:rFonts w:ascii="Open Sans" w:hAnsi="Open Sans" w:cs="Open Sans"/>
          <w:color w:val="59595B"/>
        </w:rPr>
      </w:r>
    </w:p>
    <w:p>
      <w:r>
        <w:rPr>
          <w:rFonts w:ascii="Open Sans" w:hAnsi="Open Sans" w:cs="Open Sans"/>
          <w:color w:val="59595B"/>
        </w:rPr>
      </w:r>
      <w:r>
        <w:rPr>
          <w:rFonts w:ascii="Open Sans" w:hAnsi="Open Sans" w:cs="Open Sans"/>
          <w:color w:val="59595B"/>
        </w:rPr>
        <w:t>8.01 A Relieving Letter stating the dates of service and the fact of termination for cause shall be issued on completion of F&amp;F and clearance. An Experience Letter in neutral terms (dates of service and last designation) shall be issued subject to your compliance with post-separation obligations.</w:t>
      </w:r>
      <w:r>
        <w:rPr>
          <w:rFonts w:ascii="Open Sans" w:hAnsi="Open Sans" w:cs="Open Sans"/>
          <w:color w:val="59595B"/>
        </w:rPr>
      </w:r>
    </w:p>
    <w:p>
      <w:r>
        <w:rPr>
          <w:rFonts w:ascii="Open Sans" w:hAnsi="Open Sans" w:cs="Open Sans"/>
          <w:color w:val="59595B"/>
        </w:rPr>
      </w:r>
      <w:r>
        <w:rPr>
          <w:rFonts w:ascii="Open Sans" w:hAnsi="Open Sans" w:cs="Open Sans"/>
          <w:b/>
          <w:color w:val="59595B"/>
        </w:rPr>
        <w:t>9.00 Statutory and Regulatory Filings</w:t>
      </w:r>
      <w:r>
        <w:rPr>
          <w:rFonts w:ascii="Open Sans" w:hAnsi="Open Sans" w:cs="Open Sans"/>
          <w:color w:val="59595B"/>
        </w:rPr>
      </w:r>
    </w:p>
    <w:p>
      <w:r>
        <w:rPr>
          <w:rFonts w:ascii="Open Sans" w:hAnsi="Open Sans" w:cs="Open Sans"/>
          <w:color w:val="59595B"/>
        </w:rPr>
      </w:r>
      <w:r>
        <w:rPr>
          <w:rFonts w:ascii="Open Sans" w:hAnsi="Open Sans" w:cs="Open Sans"/>
          <w:color w:val="59595B"/>
        </w:rPr>
        <w:t>9.01 The Company shall make all required filings (EPF Form 10, ESI exit, Form 16, etc.) in the ordinary course. You are directed to update your contact and bank details with HR to facilitate F&amp;F remittance.</w:t>
      </w:r>
      <w:r>
        <w:rPr>
          <w:rFonts w:ascii="Open Sans" w:hAnsi="Open Sans" w:cs="Open Sans"/>
          <w:color w:val="59595B"/>
        </w:rPr>
      </w:r>
    </w:p>
    <w:p>
      <w:r>
        <w:rPr>
          <w:rFonts w:ascii="Open Sans" w:hAnsi="Open Sans" w:cs="Open Sans"/>
          <w:color w:val="59595B"/>
        </w:rPr>
      </w:r>
      <w:r>
        <w:rPr>
          <w:rFonts w:ascii="Open Sans" w:hAnsi="Open Sans" w:cs="Open Sans"/>
          <w:b/>
          <w:color w:val="59595B"/>
        </w:rPr>
        <w:t>10.00 Governing Law and Jurisdiction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10.01 This Order and the underlying disciplinary proceedings are governed by the laws of India. Subject to mandatory statutory forums (Labour Court / Industrial Tribunal under the Industrial Disputes Act, 1947, where applicable), courts at </w:t>
      </w:r>
      <w:r>
        <w:rPr>
          <w:rFonts w:ascii="Open Sans" w:hAnsi="Open Sans" w:cs="Open Sans"/>
          <w:b/>
          <w:color w:val="59595B"/>
        </w:rPr>
        <w:t>Panchkula, Haryana</w:t>
      </w:r>
      <w:r>
        <w:rPr>
          <w:rFonts w:ascii="Open Sans" w:hAnsi="Open Sans" w:cs="Open Sans"/>
          <w:color w:val="59595B"/>
        </w:rPr>
        <w:t xml:space="preserve"> shall have exclusive jurisdiction over any dispute arising out of or in connection with this Order.</w:t>
      </w:r>
      <w:r>
        <w:rPr>
          <w:rFonts w:ascii="Open Sans" w:hAnsi="Open Sans" w:cs="Open Sans"/>
          <w:color w:val="59595B"/>
        </w:rPr>
      </w:r>
    </w:p>
    <w:p>
      <w:r>
        <w:rPr>
          <w:rFonts w:ascii="Open Sans" w:hAnsi="Open Sans" w:cs="Open Sans"/>
          <w:color w:val="59595B"/>
        </w:rPr>
      </w:r>
      <w:r>
        <w:rPr>
          <w:rFonts w:ascii="Open Sans" w:hAnsi="Open Sans" w:cs="Open Sans"/>
          <w:b/>
          <w:color w:val="59595B"/>
        </w:rPr>
        <w:t>11.00 Acknowledgement</w:t>
      </w:r>
      <w:r>
        <w:rPr>
          <w:rFonts w:ascii="Open Sans" w:hAnsi="Open Sans" w:cs="Open Sans"/>
          <w:color w:val="59595B"/>
        </w:rPr>
      </w:r>
    </w:p>
    <w:p>
      <w:r>
        <w:rPr>
          <w:rFonts w:ascii="Open Sans" w:hAnsi="Open Sans" w:cs="Open Sans"/>
          <w:color w:val="59595B"/>
        </w:rPr>
      </w:r>
      <w:r>
        <w:rPr>
          <w:rFonts w:ascii="Open Sans" w:hAnsi="Open Sans" w:cs="Open Sans"/>
          <w:color w:val="59595B"/>
        </w:rPr>
        <w:t>11.01 Kindly acknowledge receipt below. Acknowledgement of receipt does not constitute waiver of your right to appeal.</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 &amp; Disciplinary Authority</w:t>
        <w:br/>
      </w:r>
      <w:r>
        <w:rPr>
          <w:rFonts w:ascii="Open Sans" w:hAnsi="Open Sans" w:cs="Open Sans"/>
          <w:color w:val="59595B"/>
        </w:rPr>
        <w:t>rjain@technijian.com</w:t>
      </w:r>
      <w:r>
        <w:rPr>
          <w:rFonts w:ascii="Open Sans" w:hAnsi="Open Sans" w:cs="Open Sans"/>
          <w:color w:val="59595B"/>
        </w:rPr>
      </w:r>
    </w:p>
    <w:p>
      <w:r>
        <w:rPr>
          <w:rFonts w:ascii="Open Sans" w:hAnsi="Open Sans" w:cs="Open Sans"/>
          <w:color w:val="59595B"/>
        </w:rPr>
      </w:r>
      <w:r>
        <w:rPr>
          <w:rFonts w:ascii="Open Sans" w:hAnsi="Open Sans" w:cs="Open Sans"/>
          <w:b/>
          <w:color w:val="59595B"/>
        </w:rPr>
        <w:t>Countersigned: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this Order of Termination of Service for Cause dated &lt;DD Month YYYY&gt;.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&amp; Time of Receipt: &lt;DD Month YYYY&gt;, &lt;HH:MM hrs&gt;</w:t>
      </w:r>
      <w:r>
        <w:rPr>
          <w:rFonts w:ascii="Open Sans" w:hAnsi="Open Sans" w:cs="Open Sans"/>
          <w:color w:val="59595B"/>
        </w:rPr>
      </w:r>
    </w:p>
    <w:p>
      <w:r>
        <w:rPr>
          <w:rFonts w:ascii="Open Sans" w:hAnsi="Open Sans" w:cs="Open Sans"/>
          <w:color w:val="59595B"/>
        </w:rPr>
      </w:r>
      <w:r>
        <w:rPr>
          <w:rFonts w:ascii="Open Sans" w:hAnsi="Open Sans" w:cs="Open Sans"/>
          <w:i/>
          <w:color w:val="59595B"/>
        </w:rPr>
        <w:t>(If the employee refuses to acknowledge, two Company witnesses shall record the fact of tender and refusal below.)</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Witness 1: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Witness 2: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