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rFonts w:ascii="Open Sans" w:hAnsi="Open Sans" w:cs="Open Sans"/>
          <w:b/>
          <w:color w:val="1A1A2E"/>
          <w:sz w:val="28"/>
        </w:rPr>
        <w:t>1. Purpose &amp; Applicability</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This policy governs all forms of leave and time-off available to employees of Technijian IT Services Pvt. Ltd. ("the Company"), registered in Panchkula, Haryana. It is framed in conformity with:</w:t>
      </w:r>
      <w:r>
        <w:rPr>
          <w:rFonts w:ascii="Open Sans" w:hAnsi="Open Sans" w:cs="Open Sans"/>
          <w:color w:val="59595B"/>
        </w:rPr>
      </w:r>
      <w:r>
        <w:rPr>
          <w:rFonts w:ascii="Open Sans" w:hAnsi="Open Sans" w:cs="Open Sans"/>
          <w:color w:val="59595B"/>
        </w:rPr>
      </w:r>
    </w:p>
    <w:p>
      <w:pPr>
        <w:pStyle w:val="ListBullet"/>
        <w:spacing w:line="240" w:lineRule="auto"/>
        <w:ind w:left="720"/>
      </w:pPr>
      <w:r>
        <w:rPr>
          <w:rFonts w:ascii="Open Sans" w:hAnsi="Open Sans" w:cs="Open Sans"/>
          <w:color w:val="59595B"/>
        </w:rPr>
      </w:r>
      <w:r>
        <w:rPr>
          <w:rFonts w:ascii="Open Sans" w:hAnsi="Open Sans" w:cs="Open Sans"/>
          <w:b/>
          <w:color w:val="59595B"/>
        </w:rPr>
        <w:t>Punjab Shops &amp; Commercial Establishments Act, 1958</w:t>
      </w:r>
      <w:r>
        <w:rPr>
          <w:rFonts w:ascii="Open Sans" w:hAnsi="Open Sans" w:cs="Open Sans"/>
          <w:color w:val="59595B"/>
        </w:rPr>
        <w:t xml:space="preserve"> (as extended to and in force in the State of Haryana) — governing statutory Earned Leave, weekly rest, working-hour limits</w:t>
      </w:r>
      <w:r>
        <w:rPr>
          <w:rFonts w:ascii="Open Sans" w:hAnsi="Open Sans" w:cs="Open Sans"/>
          <w:color w:val="59595B"/>
        </w:rPr>
      </w:r>
    </w:p>
    <w:p>
      <w:pPr>
        <w:pStyle w:val="ListBullet"/>
        <w:spacing w:line="240" w:lineRule="auto"/>
        <w:ind w:left="720"/>
      </w:pPr>
      <w:r>
        <w:rPr>
          <w:rFonts w:ascii="Open Sans" w:hAnsi="Open Sans" w:cs="Open Sans"/>
          <w:color w:val="59595B"/>
        </w:rPr>
      </w:r>
      <w:r>
        <w:rPr>
          <w:rFonts w:ascii="Open Sans" w:hAnsi="Open Sans" w:cs="Open Sans"/>
          <w:b/>
          <w:color w:val="59595B"/>
        </w:rPr>
        <w:t>Maternity Benefit Act, 1961</w:t>
      </w:r>
      <w:r>
        <w:rPr>
          <w:rFonts w:ascii="Open Sans" w:hAnsi="Open Sans" w:cs="Open Sans"/>
          <w:color w:val="59595B"/>
        </w:rPr>
        <w:t xml:space="preserve"> (as amended by the Maternity Benefit (Amendment) Act, 2017) — governing maternity, adoption/commissioning leave, creche, and work-from-home rights</w:t>
      </w:r>
      <w:r>
        <w:rPr>
          <w:rFonts w:ascii="Open Sans" w:hAnsi="Open Sans" w:cs="Open Sans"/>
          <w:color w:val="59595B"/>
        </w:rPr>
      </w:r>
    </w:p>
    <w:p>
      <w:pPr>
        <w:pStyle w:val="ListBullet"/>
        <w:spacing w:line="240" w:lineRule="auto"/>
        <w:ind w:left="720"/>
      </w:pPr>
      <w:r>
        <w:rPr>
          <w:rFonts w:ascii="Open Sans" w:hAnsi="Open Sans" w:cs="Open Sans"/>
          <w:color w:val="59595B"/>
        </w:rPr>
      </w:r>
      <w:r>
        <w:rPr>
          <w:rFonts w:ascii="Open Sans" w:hAnsi="Open Sans" w:cs="Open Sans"/>
          <w:b/>
          <w:color w:val="59595B"/>
        </w:rPr>
        <w:t>Industrial Employment (Standing Orders) Act, 1946</w:t>
      </w:r>
      <w:r>
        <w:rPr>
          <w:rFonts w:ascii="Open Sans" w:hAnsi="Open Sans" w:cs="Open Sans"/>
          <w:color w:val="59595B"/>
        </w:rPr>
        <w:t xml:space="preserve"> — where applicable</w:t>
      </w:r>
      <w:r>
        <w:rPr>
          <w:rFonts w:ascii="Open Sans" w:hAnsi="Open Sans" w:cs="Open Sans"/>
          <w:color w:val="59595B"/>
        </w:rPr>
      </w:r>
    </w:p>
    <w:p>
      <w:pPr>
        <w:pStyle w:val="ListBullet"/>
        <w:spacing w:line="240" w:lineRule="auto"/>
        <w:ind w:left="720"/>
      </w:pPr>
      <w:r>
        <w:rPr>
          <w:rFonts w:ascii="Open Sans" w:hAnsi="Open Sans" w:cs="Open Sans"/>
          <w:color w:val="59595B"/>
        </w:rPr>
      </w:r>
      <w:r>
        <w:rPr>
          <w:rFonts w:ascii="Open Sans" w:hAnsi="Open Sans" w:cs="Open Sans"/>
          <w:b/>
          <w:color w:val="59595B"/>
        </w:rPr>
        <w:t>Code on Wages, 2019</w:t>
      </w:r>
      <w:r>
        <w:rPr>
          <w:rFonts w:ascii="Open Sans" w:hAnsi="Open Sans" w:cs="Open Sans"/>
          <w:color w:val="59595B"/>
        </w:rPr>
        <w:t xml:space="preserve"> and </w:t>
      </w:r>
      <w:r>
        <w:rPr>
          <w:rFonts w:ascii="Open Sans" w:hAnsi="Open Sans" w:cs="Open Sans"/>
          <w:b/>
          <w:color w:val="59595B"/>
        </w:rPr>
        <w:t>Code on Social Security, 2020</w:t>
      </w:r>
      <w:r>
        <w:rPr>
          <w:rFonts w:ascii="Open Sans" w:hAnsi="Open Sans" w:cs="Open Sans"/>
          <w:color w:val="59595B"/>
        </w:rPr>
        <w:t xml:space="preserve"> — applicable subject to notification of enforcement dates by the Central / Haryana State Government (pending as of date of this policy)</w:t>
      </w:r>
      <w:r>
        <w:rPr>
          <w:rFonts w:ascii="Open Sans" w:hAnsi="Open Sans" w:cs="Open Sans"/>
          <w:color w:val="59595B"/>
        </w:rPr>
      </w:r>
      <w:r>
        <w:rPr>
          <w:rFonts w:ascii="Open Sans" w:hAnsi="Open Sans" w:cs="Open Sans"/>
          <w:color w:val="59595B"/>
        </w:rPr>
      </w:r>
    </w:p>
    <w:p>
      <w:r>
        <w:rPr>
          <w:rFonts w:ascii="Open Sans" w:hAnsi="Open Sans" w:cs="Open Sans"/>
          <w:color w:val="59595B"/>
        </w:rPr>
      </w:r>
      <w:r>
        <w:rPr>
          <w:rFonts w:ascii="Open Sans" w:hAnsi="Open Sans" w:cs="Open Sans"/>
          <w:color w:val="59595B"/>
        </w:rPr>
        <w:t>This policy applies to all regular full-time employees — on probation, confirmed, and fixed-term — of the Company in India.</w:t>
      </w:r>
      <w:r>
        <w:rPr>
          <w:rFonts w:ascii="Open Sans" w:hAnsi="Open Sans" w:cs="Open Sans"/>
          <w:color w:val="59595B"/>
        </w:rPr>
      </w:r>
    </w:p>
    <w:p>
      <w:pPr>
        <w:pStyle w:val="Heading2"/>
      </w:pPr>
      <w:r>
        <w:rPr>
          <w:rFonts w:ascii="Open Sans" w:hAnsi="Open Sans" w:cs="Open Sans"/>
          <w:b/>
          <w:color w:val="1A1A2E"/>
          <w:sz w:val="28"/>
        </w:rPr>
        <w:t>2. Leave Year</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 xml:space="preserve">The leave year is the </w:t>
      </w:r>
      <w:r>
        <w:rPr>
          <w:rFonts w:ascii="Open Sans" w:hAnsi="Open Sans" w:cs="Open Sans"/>
          <w:b/>
          <w:color w:val="59595B"/>
        </w:rPr>
        <w:t>calendar year</w:t>
      </w:r>
      <w:r>
        <w:rPr>
          <w:rFonts w:ascii="Open Sans" w:hAnsi="Open Sans" w:cs="Open Sans"/>
          <w:color w:val="59595B"/>
        </w:rPr>
        <w:t xml:space="preserve">, from </w:t>
      </w:r>
      <w:r>
        <w:rPr>
          <w:rFonts w:ascii="Open Sans" w:hAnsi="Open Sans" w:cs="Open Sans"/>
          <w:b/>
          <w:color w:val="59595B"/>
        </w:rPr>
        <w:t>1 January to 31 December</w:t>
      </w:r>
      <w:r>
        <w:rPr>
          <w:rFonts w:ascii="Open Sans" w:hAnsi="Open Sans" w:cs="Open Sans"/>
          <w:color w:val="59595B"/>
        </w:rPr>
        <w:t>.</w:t>
      </w:r>
      <w:r>
        <w:rPr>
          <w:rFonts w:ascii="Open Sans" w:hAnsi="Open Sans" w:cs="Open Sans"/>
          <w:color w:val="59595B"/>
        </w:rPr>
      </w:r>
    </w:p>
    <w:p>
      <w:pPr>
        <w:pStyle w:val="Heading2"/>
      </w:pPr>
      <w:r>
        <w:rPr>
          <w:rFonts w:ascii="Open Sans" w:hAnsi="Open Sans" w:cs="Open Sans"/>
          <w:b/>
          <w:color w:val="1A1A2E"/>
          <w:sz w:val="28"/>
        </w:rPr>
        <w:t>3. Types of Leave</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All day-based entitlements assume the Company standard working week of Monday to Friday, 9 hours/day including 1-hour lunch.</w:t>
      </w:r>
      <w:r>
        <w:rPr>
          <w:rFonts w:ascii="Open Sans" w:hAnsi="Open Sans" w:cs="Open Sans"/>
          <w:color w:val="59595B"/>
        </w:rPr>
      </w:r>
    </w:p>
    <w:tbl>
      <w:tblPr>
        <w:tblStyle w:val="LightGrid-Accent1"/>
        <w:tblW w:type="auto" w:w="0"/>
        <w:tblLook w:firstColumn="1" w:firstRow="1" w:lastColumn="0" w:lastRow="0" w:noHBand="0" w:noVBand="1" w:val="04A0"/>
      </w:tblPr>
      <w:tblGrid>
        <w:gridCol w:w="1632"/>
        <w:gridCol w:w="1632"/>
        <w:gridCol w:w="1632"/>
        <w:gridCol w:w="1632"/>
        <w:gridCol w:w="1632"/>
        <w:gridCol w:w="1632"/>
      </w:tblGrid>
      <w:tr>
        <w:tc>
          <w:tcPr>
            <w:tcW w:type="dxa" w:w="1632"/>
          </w:tcPr>
          <w:p>
            <w:r>
              <w:rPr>
                <w:rFonts w:ascii="Open Sans" w:hAnsi="Open Sans"/>
                <w:b/>
                <w:sz w:val="20"/>
              </w:rPr>
              <w:t>#</w:t>
            </w:r>
          </w:p>
        </w:tc>
        <w:tc>
          <w:tcPr>
            <w:tcW w:type="dxa" w:w="1632"/>
          </w:tcPr>
          <w:p>
            <w:r>
              <w:rPr>
                <w:rFonts w:ascii="Open Sans" w:hAnsi="Open Sans"/>
                <w:b/>
                <w:sz w:val="20"/>
              </w:rPr>
              <w:t>Type</w:t>
            </w:r>
          </w:p>
        </w:tc>
        <w:tc>
          <w:tcPr>
            <w:tcW w:type="dxa" w:w="1632"/>
          </w:tcPr>
          <w:p>
            <w:r>
              <w:rPr>
                <w:rFonts w:ascii="Open Sans" w:hAnsi="Open Sans"/>
                <w:b/>
                <w:sz w:val="20"/>
              </w:rPr>
              <w:t>Entitlement</w:t>
            </w:r>
          </w:p>
        </w:tc>
        <w:tc>
          <w:tcPr>
            <w:tcW w:type="dxa" w:w="1632"/>
          </w:tcPr>
          <w:p>
            <w:r>
              <w:rPr>
                <w:rFonts w:ascii="Open Sans" w:hAnsi="Open Sans"/>
                <w:b/>
                <w:sz w:val="20"/>
              </w:rPr>
              <w:t>Accrual</w:t>
            </w:r>
          </w:p>
        </w:tc>
        <w:tc>
          <w:tcPr>
            <w:tcW w:type="dxa" w:w="1632"/>
          </w:tcPr>
          <w:p>
            <w:r>
              <w:rPr>
                <w:rFonts w:ascii="Open Sans" w:hAnsi="Open Sans"/>
                <w:b/>
                <w:sz w:val="20"/>
              </w:rPr>
              <w:t>Carry-Forward</w:t>
            </w:r>
          </w:p>
        </w:tc>
        <w:tc>
          <w:tcPr>
            <w:tcW w:type="dxa" w:w="1632"/>
          </w:tcPr>
          <w:p>
            <w:r>
              <w:rPr>
                <w:rFonts w:ascii="Open Sans" w:hAnsi="Open Sans"/>
                <w:b/>
                <w:sz w:val="20"/>
              </w:rPr>
              <w:t>Encashment</w:t>
            </w:r>
          </w:p>
        </w:tc>
      </w:tr>
      <w:tr>
        <w:tc>
          <w:tcPr>
            <w:tcW w:type="dxa" w:w="1632"/>
          </w:tcPr>
          <w:p>
            <w:r>
              <w:rPr>
                <w:rFonts w:ascii="Open Sans" w:hAnsi="Open Sans"/>
                <w:sz w:val="20"/>
              </w:rPr>
              <w:t>3.01</w:t>
            </w:r>
          </w:p>
        </w:tc>
        <w:tc>
          <w:tcPr>
            <w:tcW w:type="dxa" w:w="1632"/>
          </w:tcPr>
          <w:p>
            <w:r>
              <w:rPr>
                <w:rFonts w:ascii="Open Sans" w:hAnsi="Open Sans"/>
                <w:sz w:val="20"/>
              </w:rPr>
              <w:t>Earned / Privilege Leave (EL)</w:t>
            </w:r>
          </w:p>
        </w:tc>
        <w:tc>
          <w:tcPr>
            <w:tcW w:type="dxa" w:w="1632"/>
          </w:tcPr>
          <w:p>
            <w:r>
              <w:rPr>
                <w:rFonts w:ascii="Open Sans" w:hAnsi="Open Sans"/>
                <w:sz w:val="20"/>
              </w:rPr>
              <w:t>18 working days / year</w:t>
            </w:r>
          </w:p>
        </w:tc>
        <w:tc>
          <w:tcPr>
            <w:tcW w:type="dxa" w:w="1632"/>
          </w:tcPr>
          <w:p>
            <w:r>
              <w:rPr>
                <w:rFonts w:ascii="Open Sans" w:hAnsi="Open Sans"/>
                <w:sz w:val="20"/>
              </w:rPr>
              <w:t>1.5 days / completed month of service</w:t>
            </w:r>
          </w:p>
        </w:tc>
        <w:tc>
          <w:tcPr>
            <w:tcW w:type="dxa" w:w="1632"/>
          </w:tcPr>
          <w:p>
            <w:r>
              <w:rPr>
                <w:rFonts w:ascii="Open Sans" w:hAnsi="Open Sans"/>
                <w:sz w:val="20"/>
              </w:rPr>
              <w:t>Up to 30 days accumulated</w:t>
            </w:r>
          </w:p>
        </w:tc>
        <w:tc>
          <w:tcPr>
            <w:tcW w:type="dxa" w:w="1632"/>
          </w:tcPr>
          <w:p>
            <w:r>
              <w:rPr>
                <w:rFonts w:ascii="Open Sans" w:hAnsi="Open Sans"/>
                <w:sz w:val="20"/>
              </w:rPr>
              <w:t>Yes — on separation, at Basic salary, per Shops &amp; Est. Act</w:t>
            </w:r>
          </w:p>
        </w:tc>
      </w:tr>
      <w:tr>
        <w:tc>
          <w:tcPr>
            <w:tcW w:type="dxa" w:w="1632"/>
          </w:tcPr>
          <w:p>
            <w:r>
              <w:rPr>
                <w:rFonts w:ascii="Open Sans" w:hAnsi="Open Sans"/>
                <w:sz w:val="20"/>
              </w:rPr>
              <w:t>3.02</w:t>
            </w:r>
          </w:p>
        </w:tc>
        <w:tc>
          <w:tcPr>
            <w:tcW w:type="dxa" w:w="1632"/>
          </w:tcPr>
          <w:p>
            <w:r>
              <w:rPr>
                <w:rFonts w:ascii="Open Sans" w:hAnsi="Open Sans"/>
                <w:sz w:val="20"/>
              </w:rPr>
              <w:t>Casual Leave (CL)</w:t>
            </w:r>
          </w:p>
        </w:tc>
        <w:tc>
          <w:tcPr>
            <w:tcW w:type="dxa" w:w="1632"/>
          </w:tcPr>
          <w:p>
            <w:r>
              <w:rPr>
                <w:rFonts w:ascii="Open Sans" w:hAnsi="Open Sans"/>
                <w:sz w:val="20"/>
              </w:rPr>
              <w:t>7 days / year</w:t>
            </w:r>
          </w:p>
        </w:tc>
        <w:tc>
          <w:tcPr>
            <w:tcW w:type="dxa" w:w="1632"/>
          </w:tcPr>
          <w:p>
            <w:r>
              <w:rPr>
                <w:rFonts w:ascii="Open Sans" w:hAnsi="Open Sans"/>
                <w:sz w:val="20"/>
              </w:rPr>
              <w:t>On confirmation of the leave year</w:t>
            </w:r>
          </w:p>
        </w:tc>
        <w:tc>
          <w:tcPr>
            <w:tcW w:type="dxa" w:w="1632"/>
          </w:tcPr>
          <w:p>
            <w:r>
              <w:rPr>
                <w:rFonts w:ascii="Open Sans" w:hAnsi="Open Sans"/>
                <w:sz w:val="20"/>
              </w:rPr>
              <w:t>Nil — lapses 31 December</w:t>
            </w:r>
          </w:p>
        </w:tc>
        <w:tc>
          <w:tcPr>
            <w:tcW w:type="dxa" w:w="1632"/>
          </w:tcPr>
          <w:p>
            <w:r>
              <w:rPr>
                <w:rFonts w:ascii="Open Sans" w:hAnsi="Open Sans"/>
                <w:sz w:val="20"/>
              </w:rPr>
              <w:t>Nil</w:t>
            </w:r>
          </w:p>
        </w:tc>
      </w:tr>
      <w:tr>
        <w:tc>
          <w:tcPr>
            <w:tcW w:type="dxa" w:w="1632"/>
          </w:tcPr>
          <w:p>
            <w:r>
              <w:rPr>
                <w:rFonts w:ascii="Open Sans" w:hAnsi="Open Sans"/>
                <w:sz w:val="20"/>
              </w:rPr>
              <w:t>3.03</w:t>
            </w:r>
          </w:p>
        </w:tc>
        <w:tc>
          <w:tcPr>
            <w:tcW w:type="dxa" w:w="1632"/>
          </w:tcPr>
          <w:p>
            <w:r>
              <w:rPr>
                <w:rFonts w:ascii="Open Sans" w:hAnsi="Open Sans"/>
                <w:sz w:val="20"/>
              </w:rPr>
              <w:t>Sick Leave (SL)</w:t>
            </w:r>
          </w:p>
        </w:tc>
        <w:tc>
          <w:tcPr>
            <w:tcW w:type="dxa" w:w="1632"/>
          </w:tcPr>
          <w:p>
            <w:r>
              <w:rPr>
                <w:rFonts w:ascii="Open Sans" w:hAnsi="Open Sans"/>
                <w:sz w:val="20"/>
              </w:rPr>
              <w:t>7 days / year</w:t>
            </w:r>
          </w:p>
        </w:tc>
        <w:tc>
          <w:tcPr>
            <w:tcW w:type="dxa" w:w="1632"/>
          </w:tcPr>
          <w:p>
            <w:r>
              <w:rPr>
                <w:rFonts w:ascii="Open Sans" w:hAnsi="Open Sans"/>
                <w:sz w:val="20"/>
              </w:rPr>
              <w:t>On confirmation of the leave year</w:t>
            </w:r>
          </w:p>
        </w:tc>
        <w:tc>
          <w:tcPr>
            <w:tcW w:type="dxa" w:w="1632"/>
          </w:tcPr>
          <w:p>
            <w:r>
              <w:rPr>
                <w:rFonts w:ascii="Open Sans" w:hAnsi="Open Sans"/>
                <w:sz w:val="20"/>
              </w:rPr>
              <w:t>Up to 30 days accumulated</w:t>
            </w:r>
          </w:p>
        </w:tc>
        <w:tc>
          <w:tcPr>
            <w:tcW w:type="dxa" w:w="1632"/>
          </w:tcPr>
          <w:p>
            <w:r>
              <w:rPr>
                <w:rFonts w:ascii="Open Sans" w:hAnsi="Open Sans"/>
                <w:sz w:val="20"/>
              </w:rPr>
              <w:t>Nil</w:t>
            </w:r>
          </w:p>
        </w:tc>
      </w:tr>
      <w:tr>
        <w:tc>
          <w:tcPr>
            <w:tcW w:type="dxa" w:w="1632"/>
          </w:tcPr>
          <w:p>
            <w:r>
              <w:rPr>
                <w:rFonts w:ascii="Open Sans" w:hAnsi="Open Sans"/>
                <w:sz w:val="20"/>
              </w:rPr>
              <w:t>3.04</w:t>
            </w:r>
          </w:p>
        </w:tc>
        <w:tc>
          <w:tcPr>
            <w:tcW w:type="dxa" w:w="1632"/>
          </w:tcPr>
          <w:p>
            <w:r>
              <w:rPr>
                <w:rFonts w:ascii="Open Sans" w:hAnsi="Open Sans"/>
                <w:sz w:val="20"/>
              </w:rPr>
              <w:t>Maternity Leave</w:t>
            </w:r>
          </w:p>
        </w:tc>
        <w:tc>
          <w:tcPr>
            <w:tcW w:type="dxa" w:w="1632"/>
          </w:tcPr>
          <w:p>
            <w:r>
              <w:rPr>
                <w:rFonts w:ascii="Open Sans" w:hAnsi="Open Sans"/>
                <w:sz w:val="20"/>
              </w:rPr>
              <w:t>26 weeks (paid) for first 2 surviving children; 12 weeks for 3rd and subsequent</w:t>
            </w:r>
          </w:p>
        </w:tc>
        <w:tc>
          <w:tcPr>
            <w:tcW w:type="dxa" w:w="1632"/>
          </w:tcPr>
          <w:p>
            <w:r>
              <w:rPr>
                <w:rFonts w:ascii="Open Sans" w:hAnsi="Open Sans"/>
                <w:sz w:val="20"/>
              </w:rPr>
              <w:t>As per Maternity Benefit Act, 1961, Sec. 5</w:t>
            </w:r>
          </w:p>
        </w:tc>
        <w:tc>
          <w:tcPr>
            <w:tcW w:type="dxa" w:w="1632"/>
          </w:tcPr>
          <w:p>
            <w:r>
              <w:rPr>
                <w:rFonts w:ascii="Open Sans" w:hAnsi="Open Sans"/>
                <w:sz w:val="20"/>
              </w:rPr>
              <w:t>n/a</w:t>
            </w:r>
          </w:p>
        </w:tc>
        <w:tc>
          <w:tcPr>
            <w:tcW w:type="dxa" w:w="1632"/>
          </w:tcPr>
          <w:p>
            <w:r>
              <w:rPr>
                <w:rFonts w:ascii="Open Sans" w:hAnsi="Open Sans"/>
                <w:sz w:val="20"/>
              </w:rPr>
              <w:t>n/a</w:t>
            </w:r>
          </w:p>
        </w:tc>
      </w:tr>
      <w:tr>
        <w:tc>
          <w:tcPr>
            <w:tcW w:type="dxa" w:w="1632"/>
          </w:tcPr>
          <w:p>
            <w:r>
              <w:rPr>
                <w:rFonts w:ascii="Open Sans" w:hAnsi="Open Sans"/>
                <w:sz w:val="20"/>
              </w:rPr>
              <w:t>3.05</w:t>
            </w:r>
          </w:p>
        </w:tc>
        <w:tc>
          <w:tcPr>
            <w:tcW w:type="dxa" w:w="1632"/>
          </w:tcPr>
          <w:p>
            <w:r>
              <w:rPr>
                <w:rFonts w:ascii="Open Sans" w:hAnsi="Open Sans"/>
                <w:sz w:val="20"/>
              </w:rPr>
              <w:t>Adoption / Commissioning Mother Leave</w:t>
            </w:r>
          </w:p>
        </w:tc>
        <w:tc>
          <w:tcPr>
            <w:tcW w:type="dxa" w:w="1632"/>
          </w:tcPr>
          <w:p>
            <w:r>
              <w:rPr>
                <w:rFonts w:ascii="Open Sans" w:hAnsi="Open Sans"/>
                <w:sz w:val="20"/>
              </w:rPr>
              <w:t>12 weeks (paid) from date of handover / surrogacy</w:t>
            </w:r>
          </w:p>
        </w:tc>
        <w:tc>
          <w:tcPr>
            <w:tcW w:type="dxa" w:w="1632"/>
          </w:tcPr>
          <w:p>
            <w:r>
              <w:rPr>
                <w:rFonts w:ascii="Open Sans" w:hAnsi="Open Sans"/>
                <w:sz w:val="20"/>
              </w:rPr>
              <w:t>As per Maternity Benefit (Amendment) Act, 2017</w:t>
            </w:r>
          </w:p>
        </w:tc>
        <w:tc>
          <w:tcPr>
            <w:tcW w:type="dxa" w:w="1632"/>
          </w:tcPr>
          <w:p>
            <w:r>
              <w:rPr>
                <w:rFonts w:ascii="Open Sans" w:hAnsi="Open Sans"/>
                <w:sz w:val="20"/>
              </w:rPr>
              <w:t>n/a</w:t>
            </w:r>
          </w:p>
        </w:tc>
        <w:tc>
          <w:tcPr>
            <w:tcW w:type="dxa" w:w="1632"/>
          </w:tcPr>
          <w:p>
            <w:r>
              <w:rPr>
                <w:rFonts w:ascii="Open Sans" w:hAnsi="Open Sans"/>
                <w:sz w:val="20"/>
              </w:rPr>
              <w:t>n/a</w:t>
            </w:r>
          </w:p>
        </w:tc>
      </w:tr>
      <w:tr>
        <w:tc>
          <w:tcPr>
            <w:tcW w:type="dxa" w:w="1632"/>
          </w:tcPr>
          <w:p>
            <w:r>
              <w:rPr>
                <w:rFonts w:ascii="Open Sans" w:hAnsi="Open Sans"/>
                <w:sz w:val="20"/>
              </w:rPr>
              <w:t>3.06</w:t>
            </w:r>
          </w:p>
        </w:tc>
        <w:tc>
          <w:tcPr>
            <w:tcW w:type="dxa" w:w="1632"/>
          </w:tcPr>
          <w:p>
            <w:r>
              <w:rPr>
                <w:rFonts w:ascii="Open Sans" w:hAnsi="Open Sans"/>
                <w:sz w:val="20"/>
              </w:rPr>
              <w:t>Paternity Leave (policy)</w:t>
            </w:r>
          </w:p>
        </w:tc>
        <w:tc>
          <w:tcPr>
            <w:tcW w:type="dxa" w:w="1632"/>
          </w:tcPr>
          <w:p>
            <w:r>
              <w:rPr>
                <w:rFonts w:ascii="Open Sans" w:hAnsi="Open Sans"/>
                <w:sz w:val="20"/>
              </w:rPr>
              <w:t>5 working days, within 3 months of child's birth</w:t>
            </w:r>
          </w:p>
        </w:tc>
        <w:tc>
          <w:tcPr>
            <w:tcW w:type="dxa" w:w="1632"/>
          </w:tcPr>
          <w:p>
            <w:r>
              <w:rPr>
                <w:rFonts w:ascii="Open Sans" w:hAnsi="Open Sans"/>
                <w:sz w:val="20"/>
              </w:rPr>
              <w:t>Per event, up to 2 children</w:t>
            </w:r>
          </w:p>
        </w:tc>
        <w:tc>
          <w:tcPr>
            <w:tcW w:type="dxa" w:w="1632"/>
          </w:tcPr>
          <w:p>
            <w:r>
              <w:rPr>
                <w:rFonts w:ascii="Open Sans" w:hAnsi="Open Sans"/>
                <w:sz w:val="20"/>
              </w:rPr>
              <w:t>Nil</w:t>
            </w:r>
          </w:p>
        </w:tc>
        <w:tc>
          <w:tcPr>
            <w:tcW w:type="dxa" w:w="1632"/>
          </w:tcPr>
          <w:p>
            <w:r>
              <w:rPr>
                <w:rFonts w:ascii="Open Sans" w:hAnsi="Open Sans"/>
                <w:sz w:val="20"/>
              </w:rPr>
              <w:t>Nil</w:t>
            </w:r>
          </w:p>
        </w:tc>
      </w:tr>
      <w:tr>
        <w:tc>
          <w:tcPr>
            <w:tcW w:type="dxa" w:w="1632"/>
          </w:tcPr>
          <w:p>
            <w:r>
              <w:rPr>
                <w:rFonts w:ascii="Open Sans" w:hAnsi="Open Sans"/>
                <w:sz w:val="20"/>
              </w:rPr>
              <w:t>3.07</w:t>
            </w:r>
          </w:p>
        </w:tc>
        <w:tc>
          <w:tcPr>
            <w:tcW w:type="dxa" w:w="1632"/>
          </w:tcPr>
          <w:p>
            <w:r>
              <w:rPr>
                <w:rFonts w:ascii="Open Sans" w:hAnsi="Open Sans"/>
                <w:sz w:val="20"/>
              </w:rPr>
              <w:t>Bereavement Leave (policy)</w:t>
            </w:r>
          </w:p>
        </w:tc>
        <w:tc>
          <w:tcPr>
            <w:tcW w:type="dxa" w:w="1632"/>
          </w:tcPr>
          <w:p>
            <w:r>
              <w:rPr>
                <w:rFonts w:ascii="Open Sans" w:hAnsi="Open Sans"/>
                <w:sz w:val="20"/>
              </w:rPr>
              <w:t>3 working days per occurrence (immediate family)</w:t>
            </w:r>
          </w:p>
        </w:tc>
        <w:tc>
          <w:tcPr>
            <w:tcW w:type="dxa" w:w="1632"/>
          </w:tcPr>
          <w:p>
            <w:r>
              <w:rPr>
                <w:rFonts w:ascii="Open Sans" w:hAnsi="Open Sans"/>
                <w:sz w:val="20"/>
              </w:rPr>
              <w:t>Per event</w:t>
            </w:r>
          </w:p>
        </w:tc>
        <w:tc>
          <w:tcPr>
            <w:tcW w:type="dxa" w:w="1632"/>
          </w:tcPr>
          <w:p>
            <w:r>
              <w:rPr>
                <w:rFonts w:ascii="Open Sans" w:hAnsi="Open Sans"/>
                <w:sz w:val="20"/>
              </w:rPr>
              <w:t>Nil</w:t>
            </w:r>
          </w:p>
        </w:tc>
        <w:tc>
          <w:tcPr>
            <w:tcW w:type="dxa" w:w="1632"/>
          </w:tcPr>
          <w:p>
            <w:r>
              <w:rPr>
                <w:rFonts w:ascii="Open Sans" w:hAnsi="Open Sans"/>
                <w:sz w:val="20"/>
              </w:rPr>
              <w:t>Nil</w:t>
            </w:r>
          </w:p>
        </w:tc>
      </w:tr>
      <w:tr>
        <w:tc>
          <w:tcPr>
            <w:tcW w:type="dxa" w:w="1632"/>
          </w:tcPr>
          <w:p>
            <w:r>
              <w:rPr>
                <w:rFonts w:ascii="Open Sans" w:hAnsi="Open Sans"/>
                <w:sz w:val="20"/>
              </w:rPr>
              <w:t>3.08</w:t>
            </w:r>
          </w:p>
        </w:tc>
        <w:tc>
          <w:tcPr>
            <w:tcW w:type="dxa" w:w="1632"/>
          </w:tcPr>
          <w:p>
            <w:r>
              <w:rPr>
                <w:rFonts w:ascii="Open Sans" w:hAnsi="Open Sans"/>
                <w:sz w:val="20"/>
              </w:rPr>
              <w:t>Marriage Leave (policy)</w:t>
            </w:r>
          </w:p>
        </w:tc>
        <w:tc>
          <w:tcPr>
            <w:tcW w:type="dxa" w:w="1632"/>
          </w:tcPr>
          <w:p>
            <w:r>
              <w:rPr>
                <w:rFonts w:ascii="Open Sans" w:hAnsi="Open Sans"/>
                <w:sz w:val="20"/>
              </w:rPr>
              <w:t>5 working days, once during service</w:t>
            </w:r>
          </w:p>
        </w:tc>
        <w:tc>
          <w:tcPr>
            <w:tcW w:type="dxa" w:w="1632"/>
          </w:tcPr>
          <w:p>
            <w:r>
              <w:rPr>
                <w:rFonts w:ascii="Open Sans" w:hAnsi="Open Sans"/>
                <w:sz w:val="20"/>
              </w:rPr>
              <w:t>One-time</w:t>
            </w:r>
          </w:p>
        </w:tc>
        <w:tc>
          <w:tcPr>
            <w:tcW w:type="dxa" w:w="1632"/>
          </w:tcPr>
          <w:p>
            <w:r>
              <w:rPr>
                <w:rFonts w:ascii="Open Sans" w:hAnsi="Open Sans"/>
                <w:sz w:val="20"/>
              </w:rPr>
              <w:t>Nil</w:t>
            </w:r>
          </w:p>
        </w:tc>
        <w:tc>
          <w:tcPr>
            <w:tcW w:type="dxa" w:w="1632"/>
          </w:tcPr>
          <w:p>
            <w:r>
              <w:rPr>
                <w:rFonts w:ascii="Open Sans" w:hAnsi="Open Sans"/>
                <w:sz w:val="20"/>
              </w:rPr>
              <w:t>Nil</w:t>
            </w:r>
          </w:p>
        </w:tc>
      </w:tr>
      <w:tr>
        <w:tc>
          <w:tcPr>
            <w:tcW w:type="dxa" w:w="1632"/>
          </w:tcPr>
          <w:p>
            <w:r>
              <w:rPr>
                <w:rFonts w:ascii="Open Sans" w:hAnsi="Open Sans"/>
                <w:sz w:val="20"/>
              </w:rPr>
              <w:t>3.09</w:t>
            </w:r>
          </w:p>
        </w:tc>
        <w:tc>
          <w:tcPr>
            <w:tcW w:type="dxa" w:w="1632"/>
          </w:tcPr>
          <w:p>
            <w:r>
              <w:rPr>
                <w:rFonts w:ascii="Open Sans" w:hAnsi="Open Sans"/>
                <w:sz w:val="20"/>
              </w:rPr>
              <w:t>Public / National Holidays</w:t>
            </w:r>
          </w:p>
        </w:tc>
        <w:tc>
          <w:tcPr>
            <w:tcW w:type="dxa" w:w="1632"/>
          </w:tcPr>
          <w:p>
            <w:r>
              <w:rPr>
                <w:rFonts w:ascii="Open Sans" w:hAnsi="Open Sans"/>
                <w:sz w:val="20"/>
              </w:rPr>
              <w:t>As per Haryana State Gazette + Company annual HR calendar</w:t>
            </w:r>
          </w:p>
        </w:tc>
        <w:tc>
          <w:tcPr>
            <w:tcW w:type="dxa" w:w="1632"/>
          </w:tcPr>
          <w:p>
            <w:r>
              <w:rPr>
                <w:rFonts w:ascii="Open Sans" w:hAnsi="Open Sans"/>
                <w:sz w:val="20"/>
              </w:rPr>
              <w:t>Fixed list issued each January</w:t>
            </w:r>
          </w:p>
        </w:tc>
        <w:tc>
          <w:tcPr>
            <w:tcW w:type="dxa" w:w="1632"/>
          </w:tcPr>
          <w:p>
            <w:r>
              <w:rPr>
                <w:rFonts w:ascii="Open Sans" w:hAnsi="Open Sans"/>
                <w:sz w:val="20"/>
              </w:rPr>
              <w:t>n/a</w:t>
            </w:r>
          </w:p>
        </w:tc>
        <w:tc>
          <w:tcPr>
            <w:tcW w:type="dxa" w:w="1632"/>
          </w:tcPr>
          <w:p>
            <w:r>
              <w:rPr>
                <w:rFonts w:ascii="Open Sans" w:hAnsi="Open Sans"/>
                <w:sz w:val="20"/>
              </w:rPr>
              <w:t>n/a</w:t>
            </w:r>
          </w:p>
        </w:tc>
      </w:tr>
      <w:tr>
        <w:tc>
          <w:tcPr>
            <w:tcW w:type="dxa" w:w="1632"/>
          </w:tcPr>
          <w:p>
            <w:r>
              <w:rPr>
                <w:rFonts w:ascii="Open Sans" w:hAnsi="Open Sans"/>
                <w:sz w:val="20"/>
              </w:rPr>
              <w:t>3.10</w:t>
            </w:r>
          </w:p>
        </w:tc>
        <w:tc>
          <w:tcPr>
            <w:tcW w:type="dxa" w:w="1632"/>
          </w:tcPr>
          <w:p>
            <w:r>
              <w:rPr>
                <w:rFonts w:ascii="Open Sans" w:hAnsi="Open Sans"/>
                <w:sz w:val="20"/>
              </w:rPr>
              <w:t>Compensatory Off (Comp-Off)</w:t>
            </w:r>
          </w:p>
        </w:tc>
        <w:tc>
          <w:tcPr>
            <w:tcW w:type="dxa" w:w="1632"/>
          </w:tcPr>
          <w:p>
            <w:r>
              <w:rPr>
                <w:rFonts w:ascii="Open Sans" w:hAnsi="Open Sans"/>
                <w:sz w:val="20"/>
              </w:rPr>
              <w:t>1 day per full day of approved weekend / public-holiday work</w:t>
            </w:r>
          </w:p>
        </w:tc>
        <w:tc>
          <w:tcPr>
            <w:tcW w:type="dxa" w:w="1632"/>
          </w:tcPr>
          <w:p>
            <w:r>
              <w:rPr>
                <w:rFonts w:ascii="Open Sans" w:hAnsi="Open Sans"/>
                <w:sz w:val="20"/>
              </w:rPr>
              <w:t>Manager-approved, logged in HR system</w:t>
            </w:r>
          </w:p>
        </w:tc>
        <w:tc>
          <w:tcPr>
            <w:tcW w:type="dxa" w:w="1632"/>
          </w:tcPr>
          <w:p>
            <w:r>
              <w:rPr>
                <w:rFonts w:ascii="Open Sans" w:hAnsi="Open Sans"/>
                <w:sz w:val="20"/>
              </w:rPr>
              <w:t>Must be availed within 90 days of earning; otherwise lapses</w:t>
            </w:r>
          </w:p>
        </w:tc>
        <w:tc>
          <w:tcPr>
            <w:tcW w:type="dxa" w:w="1632"/>
          </w:tcPr>
          <w:p>
            <w:r>
              <w:rPr>
                <w:rFonts w:ascii="Open Sans" w:hAnsi="Open Sans"/>
                <w:sz w:val="20"/>
              </w:rPr>
              <w:t>Nil</w:t>
            </w:r>
          </w:p>
        </w:tc>
      </w:tr>
    </w:tbl>
    <w:p>
      <w:r>
        <w:rPr>
          <w:rFonts w:ascii="Open Sans" w:hAnsi="Open Sans" w:cs="Open Sans"/>
          <w:color w:val="59595B"/>
        </w:rPr>
      </w:r>
    </w:p>
    <w:p>
      <w:r>
        <w:rPr>
          <w:rFonts w:ascii="Open Sans" w:hAnsi="Open Sans" w:cs="Open Sans"/>
          <w:color w:val="59595B"/>
        </w:rPr>
      </w:r>
      <w:r>
        <w:rPr>
          <w:rFonts w:ascii="Open Sans" w:hAnsi="Open Sans" w:cs="Open Sans"/>
          <w:color w:val="59595B"/>
        </w:rPr>
        <w:t>Statutory note: The Company's EL entitlement of 18 days is more generous than the statutory floor under the Punjab S&amp;E Act (1 day for every 20 days worked, typically ~15 days/year). Statutory floor is the minimum; Company policy overrides only upward.</w:t>
      </w:r>
      <w:r>
        <w:rPr>
          <w:rFonts w:ascii="Open Sans" w:hAnsi="Open Sans" w:cs="Open Sans"/>
          <w:color w:val="59595B"/>
        </w:rPr>
      </w:r>
    </w:p>
    <w:p>
      <w:r>
        <w:rPr>
          <w:rFonts w:ascii="Open Sans" w:hAnsi="Open Sans" w:cs="Open Sans"/>
          <w:color w:val="59595B"/>
        </w:rPr>
      </w:r>
      <w:r>
        <w:rPr>
          <w:rFonts w:ascii="Open Sans" w:hAnsi="Open Sans" w:cs="Open Sans"/>
          <w:color w:val="59595B"/>
        </w:rPr>
        <w:t>There is no statutory entitlement under Indian law to paternity, bereavement, marriage, or general sick leave — items 3.06, 3.07, 3.08 and SL at 3.03 are extended as a matter of Company policy and may be revised at the Company's discretion with reasonable notice.</w:t>
      </w:r>
      <w:r>
        <w:rPr>
          <w:rFonts w:ascii="Open Sans" w:hAnsi="Open Sans" w:cs="Open Sans"/>
          <w:color w:val="59595B"/>
        </w:rPr>
      </w:r>
    </w:p>
    <w:p>
      <w:pPr>
        <w:pStyle w:val="Heading2"/>
      </w:pPr>
      <w:r>
        <w:rPr>
          <w:rFonts w:ascii="Open Sans" w:hAnsi="Open Sans" w:cs="Open Sans"/>
          <w:b/>
          <w:color w:val="1A1A2E"/>
          <w:sz w:val="28"/>
        </w:rPr>
        <w:t>4. Accrual &amp; Pro-ration</w:t>
      </w:r>
      <w:r>
        <w:rPr>
          <w:rFonts w:ascii="Open Sans" w:hAnsi="Open Sans" w:cs="Open Sans"/>
          <w:b/>
          <w:color w:val="1A1A2E"/>
          <w:sz w:val="28"/>
        </w:rPr>
      </w:r>
    </w:p>
    <w:p>
      <w:pPr>
        <w:pStyle w:val="Heading3"/>
      </w:pPr>
      <w:r>
        <w:rPr>
          <w:rFonts w:ascii="Open Sans" w:hAnsi="Open Sans" w:cs="Open Sans"/>
          <w:b/>
          <w:color w:val="1A1A2E"/>
          <w:sz w:val="24"/>
        </w:rPr>
        <w:t>4.01 Mid-year Joiners</w:t>
      </w:r>
      <w:r>
        <w:rPr>
          <w:rFonts w:ascii="Open Sans" w:hAnsi="Open Sans" w:cs="Open Sans"/>
          <w:b/>
          <w:color w:val="1A1A2E"/>
          <w:sz w:val="24"/>
        </w:rPr>
      </w:r>
    </w:p>
    <w:p>
      <w:r>
        <w:rPr>
          <w:rFonts w:ascii="Open Sans" w:hAnsi="Open Sans" w:cs="Open Sans"/>
          <w:color w:val="59595B"/>
        </w:rPr>
      </w:r>
      <w:r>
        <w:rPr>
          <w:rFonts w:ascii="Open Sans" w:hAnsi="Open Sans" w:cs="Open Sans"/>
          <w:color w:val="59595B"/>
        </w:rPr>
        <w:t>EL, CL, and SL entitlements for an employee joining mid-year are pro-rated by completed months of service in the leave year, rounded to the nearest half-day.</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Formula: </w:t>
      </w:r>
      <w:r>
        <w:rPr>
          <w:rFonts w:ascii="Open Sans" w:hAnsi="Open Sans" w:cs="Open Sans"/>
          <w:color w:val="59595B"/>
        </w:rPr>
        <w:t>Entitlement = Annual Quota × (Months remaining in leave year ÷ 12)</w:t>
      </w:r>
      <w:r>
        <w:rPr>
          <w:rFonts w:ascii="Open Sans" w:hAnsi="Open Sans" w:cs="Open Sans"/>
          <w:color w:val="59595B"/>
        </w:rPr>
      </w:r>
    </w:p>
    <w:p>
      <w:pPr>
        <w:pStyle w:val="Heading3"/>
      </w:pPr>
      <w:r>
        <w:rPr>
          <w:rFonts w:ascii="Open Sans" w:hAnsi="Open Sans" w:cs="Open Sans"/>
          <w:b/>
          <w:color w:val="1A1A2E"/>
          <w:sz w:val="24"/>
        </w:rPr>
        <w:t>4.02 Confirmation Dependency</w:t>
      </w:r>
      <w:r>
        <w:rPr>
          <w:rFonts w:ascii="Open Sans" w:hAnsi="Open Sans" w:cs="Open Sans"/>
          <w:b/>
          <w:color w:val="1A1A2E"/>
          <w:sz w:val="24"/>
        </w:rPr>
      </w:r>
      <w:r>
        <w:rPr>
          <w:rFonts w:ascii="Open Sans" w:hAnsi="Open Sans" w:cs="Open Sans"/>
          <w:b/>
          <w:color w:val="1A1A2E"/>
          <w:sz w:val="24"/>
        </w:rPr>
      </w:r>
    </w:p>
    <w:p>
      <w:pPr>
        <w:pStyle w:val="ListBullet"/>
        <w:spacing w:line="240" w:lineRule="auto"/>
        <w:ind w:left="720"/>
      </w:pPr>
      <w:r>
        <w:rPr>
          <w:rFonts w:ascii="Open Sans" w:hAnsi="Open Sans" w:cs="Open Sans"/>
          <w:color w:val="59595B"/>
        </w:rPr>
      </w:r>
      <w:r>
        <w:rPr>
          <w:rFonts w:ascii="Open Sans" w:hAnsi="Open Sans" w:cs="Open Sans"/>
          <w:color w:val="59595B"/>
        </w:rPr>
        <w:t>EL accrues from date of joining for all employees.</w:t>
      </w:r>
      <w:r>
        <w:rPr>
          <w:rFonts w:ascii="Open Sans" w:hAnsi="Open Sans" w:cs="Open Sans"/>
          <w:color w:val="59595B"/>
        </w:rPr>
      </w:r>
    </w:p>
    <w:p>
      <w:pPr>
        <w:pStyle w:val="ListBullet"/>
        <w:spacing w:line="240" w:lineRule="auto"/>
        <w:ind w:left="720"/>
      </w:pPr>
      <w:r>
        <w:rPr>
          <w:rFonts w:ascii="Open Sans" w:hAnsi="Open Sans" w:cs="Open Sans"/>
          <w:color w:val="59595B"/>
        </w:rPr>
      </w:r>
      <w:r>
        <w:rPr>
          <w:rFonts w:ascii="Open Sans" w:hAnsi="Open Sans" w:cs="Open Sans"/>
          <w:color w:val="59595B"/>
        </w:rPr>
        <w:t>CL and SL become available from date of joining but are subject to pro-ration as above.</w:t>
      </w:r>
      <w:r>
        <w:rPr>
          <w:rFonts w:ascii="Open Sans" w:hAnsi="Open Sans" w:cs="Open Sans"/>
          <w:color w:val="59595B"/>
        </w:rPr>
      </w:r>
    </w:p>
    <w:p>
      <w:pPr>
        <w:pStyle w:val="ListBullet"/>
        <w:spacing w:line="240" w:lineRule="auto"/>
        <w:ind w:left="720"/>
      </w:pPr>
      <w:r>
        <w:rPr>
          <w:rFonts w:ascii="Open Sans" w:hAnsi="Open Sans" w:cs="Open Sans"/>
          <w:color w:val="59595B"/>
        </w:rPr>
      </w:r>
      <w:r>
        <w:rPr>
          <w:rFonts w:ascii="Open Sans" w:hAnsi="Open Sans" w:cs="Open Sans"/>
          <w:color w:val="59595B"/>
        </w:rPr>
        <w:t>Maternity and Adoption/Commissioning leave are governed by the eligibility rules of the Maternity Benefit Act, 1961 (minimum 80 days of service in the 12 months preceding the expected date of delivery).</w:t>
      </w:r>
      <w:r>
        <w:rPr>
          <w:rFonts w:ascii="Open Sans" w:hAnsi="Open Sans" w:cs="Open Sans"/>
          <w:color w:val="59595B"/>
        </w:rPr>
      </w:r>
      <w:r>
        <w:rPr>
          <w:rFonts w:ascii="Open Sans" w:hAnsi="Open Sans" w:cs="Open Sans"/>
          <w:color w:val="59595B"/>
        </w:rPr>
      </w:r>
    </w:p>
    <w:p>
      <w:pPr>
        <w:pStyle w:val="Heading3"/>
      </w:pPr>
      <w:r>
        <w:rPr>
          <w:rFonts w:ascii="Open Sans" w:hAnsi="Open Sans" w:cs="Open Sans"/>
          <w:b/>
          <w:color w:val="1A1A2E"/>
          <w:sz w:val="24"/>
        </w:rPr>
        <w:t>4.03 Leave Without Pay (LOP)</w:t>
      </w:r>
      <w:r>
        <w:rPr>
          <w:rFonts w:ascii="Open Sans" w:hAnsi="Open Sans" w:cs="Open Sans"/>
          <w:b/>
          <w:color w:val="1A1A2E"/>
          <w:sz w:val="24"/>
        </w:rPr>
      </w:r>
    </w:p>
    <w:p>
      <w:r>
        <w:rPr>
          <w:rFonts w:ascii="Open Sans" w:hAnsi="Open Sans" w:cs="Open Sans"/>
          <w:color w:val="59595B"/>
        </w:rPr>
      </w:r>
      <w:r>
        <w:rPr>
          <w:rFonts w:ascii="Open Sans" w:hAnsi="Open Sans" w:cs="Open Sans"/>
          <w:color w:val="59595B"/>
        </w:rPr>
        <w:t xml:space="preserve">Where paid leave balance is insufficient, the remainder may be availed as Loss of Pay (LOP) with prior approval of the reporting manager and HR. LOP days will be deducted at </w:t>
      </w:r>
      <w:r>
        <w:rPr>
          <w:rFonts w:ascii="Open Sans" w:hAnsi="Open Sans" w:cs="Open Sans"/>
          <w:color w:val="59595B"/>
        </w:rPr>
        <w:t>(Monthly Gross ÷ Working Days of the month)</w:t>
      </w:r>
      <w:r>
        <w:rPr>
          <w:rFonts w:ascii="Open Sans" w:hAnsi="Open Sans" w:cs="Open Sans"/>
          <w:color w:val="59595B"/>
        </w:rPr>
        <w:t>.</w:t>
      </w:r>
      <w:r>
        <w:rPr>
          <w:rFonts w:ascii="Open Sans" w:hAnsi="Open Sans" w:cs="Open Sans"/>
          <w:color w:val="59595B"/>
        </w:rPr>
      </w:r>
    </w:p>
    <w:p>
      <w:pPr>
        <w:pStyle w:val="Heading2"/>
      </w:pPr>
      <w:r>
        <w:rPr>
          <w:rFonts w:ascii="Open Sans" w:hAnsi="Open Sans" w:cs="Open Sans"/>
          <w:b/>
          <w:color w:val="1A1A2E"/>
          <w:sz w:val="28"/>
        </w:rPr>
        <w:t>5. Maternity Benefits — Additional Provisions</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Pursuant to the Maternity Benefit Act, 1961 and the Maternity Benefit (Amendment) Act, 2017:</w:t>
      </w:r>
      <w:r>
        <w:rPr>
          <w:rFonts w:ascii="Open Sans" w:hAnsi="Open Sans" w:cs="Open Sans"/>
          <w:color w:val="59595B"/>
        </w:rPr>
      </w:r>
    </w:p>
    <w:p>
      <w:pPr>
        <w:pStyle w:val="Heading3"/>
      </w:pPr>
      <w:r>
        <w:rPr>
          <w:rFonts w:ascii="Open Sans" w:hAnsi="Open Sans" w:cs="Open Sans"/>
          <w:b/>
          <w:color w:val="1A1A2E"/>
          <w:sz w:val="24"/>
        </w:rPr>
        <w:t>5.01 Medical Bonus</w:t>
      </w:r>
      <w:r>
        <w:rPr>
          <w:rFonts w:ascii="Open Sans" w:hAnsi="Open Sans" w:cs="Open Sans"/>
          <w:b/>
          <w:color w:val="1A1A2E"/>
          <w:sz w:val="24"/>
        </w:rPr>
      </w:r>
    </w:p>
    <w:p>
      <w:r>
        <w:rPr>
          <w:rFonts w:ascii="Open Sans" w:hAnsi="Open Sans" w:cs="Open Sans"/>
          <w:color w:val="59595B"/>
        </w:rPr>
      </w:r>
      <w:r>
        <w:rPr>
          <w:rFonts w:ascii="Open Sans" w:hAnsi="Open Sans" w:cs="Open Sans"/>
          <w:color w:val="59595B"/>
        </w:rPr>
        <w:t>Rs. 3,500 medical bonus is payable where pre-natal confinement and post-natal care are not provided by the Company free of charge.</w:t>
      </w:r>
      <w:r>
        <w:rPr>
          <w:rFonts w:ascii="Open Sans" w:hAnsi="Open Sans" w:cs="Open Sans"/>
          <w:color w:val="59595B"/>
        </w:rPr>
      </w:r>
    </w:p>
    <w:p>
      <w:pPr>
        <w:pStyle w:val="Heading3"/>
      </w:pPr>
      <w:r>
        <w:rPr>
          <w:rFonts w:ascii="Open Sans" w:hAnsi="Open Sans" w:cs="Open Sans"/>
          <w:b/>
          <w:color w:val="1A1A2E"/>
          <w:sz w:val="24"/>
        </w:rPr>
        <w:t>5.02 Creche Facility</w:t>
      </w:r>
      <w:r>
        <w:rPr>
          <w:rFonts w:ascii="Open Sans" w:hAnsi="Open Sans" w:cs="Open Sans"/>
          <w:b/>
          <w:color w:val="1A1A2E"/>
          <w:sz w:val="24"/>
        </w:rPr>
      </w:r>
    </w:p>
    <w:p>
      <w:r>
        <w:rPr>
          <w:rFonts w:ascii="Open Sans" w:hAnsi="Open Sans" w:cs="Open Sans"/>
          <w:color w:val="59595B"/>
        </w:rPr>
      </w:r>
      <w:r>
        <w:rPr>
          <w:rFonts w:ascii="Open Sans" w:hAnsi="Open Sans" w:cs="Open Sans"/>
          <w:color w:val="59595B"/>
        </w:rPr>
        <w:t xml:space="preserve">The Company will provide and maintain a creche facility within a prescribed distance once the employee headcount reaches or exceeds </w:t>
      </w:r>
      <w:r>
        <w:rPr>
          <w:rFonts w:ascii="Open Sans" w:hAnsi="Open Sans" w:cs="Open Sans"/>
          <w:b/>
          <w:color w:val="59595B"/>
        </w:rPr>
        <w:t>50 employees</w:t>
      </w:r>
      <w:r>
        <w:rPr>
          <w:rFonts w:ascii="Open Sans" w:hAnsi="Open Sans" w:cs="Open Sans"/>
          <w:color w:val="59595B"/>
        </w:rPr>
        <w:t>, as required under Sec. 11A. Women employees are permitted up to 4 visits per day to the creche, including rest intervals.</w:t>
      </w:r>
      <w:r>
        <w:rPr>
          <w:rFonts w:ascii="Open Sans" w:hAnsi="Open Sans" w:cs="Open Sans"/>
          <w:color w:val="59595B"/>
        </w:rPr>
      </w:r>
    </w:p>
    <w:p>
      <w:pPr>
        <w:pStyle w:val="Heading3"/>
      </w:pPr>
      <w:r>
        <w:rPr>
          <w:rFonts w:ascii="Open Sans" w:hAnsi="Open Sans" w:cs="Open Sans"/>
          <w:b/>
          <w:color w:val="1A1A2E"/>
          <w:sz w:val="24"/>
        </w:rPr>
        <w:t>5.03 Work-From-Home (Post-Maternity)</w:t>
      </w:r>
      <w:r>
        <w:rPr>
          <w:rFonts w:ascii="Open Sans" w:hAnsi="Open Sans" w:cs="Open Sans"/>
          <w:b/>
          <w:color w:val="1A1A2E"/>
          <w:sz w:val="24"/>
        </w:rPr>
      </w:r>
    </w:p>
    <w:p>
      <w:r>
        <w:rPr>
          <w:rFonts w:ascii="Open Sans" w:hAnsi="Open Sans" w:cs="Open Sans"/>
          <w:color w:val="59595B"/>
        </w:rPr>
      </w:r>
      <w:r>
        <w:rPr>
          <w:rFonts w:ascii="Open Sans" w:hAnsi="Open Sans" w:cs="Open Sans"/>
          <w:color w:val="59595B"/>
        </w:rPr>
        <w:t>Pursuant to Sec. 5(5) of the Maternity Benefit Act, a woman employee may, by mutual agreement with the Company, avail work-from-home after expiry of maternity leave where the nature of her role permits. Refer to the Company WFH Policy.</w:t>
      </w:r>
      <w:r>
        <w:rPr>
          <w:rFonts w:ascii="Open Sans" w:hAnsi="Open Sans" w:cs="Open Sans"/>
          <w:color w:val="59595B"/>
        </w:rPr>
      </w:r>
    </w:p>
    <w:p>
      <w:pPr>
        <w:pStyle w:val="Heading3"/>
      </w:pPr>
      <w:r>
        <w:rPr>
          <w:rFonts w:ascii="Open Sans" w:hAnsi="Open Sans" w:cs="Open Sans"/>
          <w:b/>
          <w:color w:val="1A1A2E"/>
          <w:sz w:val="24"/>
        </w:rPr>
        <w:t>5.04 Miscarriage / Medical Termination of Pregnancy</w:t>
      </w:r>
      <w:r>
        <w:rPr>
          <w:rFonts w:ascii="Open Sans" w:hAnsi="Open Sans" w:cs="Open Sans"/>
          <w:b/>
          <w:color w:val="1A1A2E"/>
          <w:sz w:val="24"/>
        </w:rPr>
      </w:r>
    </w:p>
    <w:p>
      <w:r>
        <w:rPr>
          <w:rFonts w:ascii="Open Sans" w:hAnsi="Open Sans" w:cs="Open Sans"/>
          <w:color w:val="59595B"/>
        </w:rPr>
      </w:r>
      <w:r>
        <w:rPr>
          <w:rFonts w:ascii="Open Sans" w:hAnsi="Open Sans" w:cs="Open Sans"/>
          <w:color w:val="59595B"/>
        </w:rPr>
        <w:t>6 weeks of paid leave immediately following the date of miscarriage / MTP, on production of medical certificate (Sec. 9).</w:t>
      </w:r>
      <w:r>
        <w:rPr>
          <w:rFonts w:ascii="Open Sans" w:hAnsi="Open Sans" w:cs="Open Sans"/>
          <w:color w:val="59595B"/>
        </w:rPr>
      </w:r>
    </w:p>
    <w:p>
      <w:pPr>
        <w:pStyle w:val="Heading3"/>
      </w:pPr>
      <w:r>
        <w:rPr>
          <w:rFonts w:ascii="Open Sans" w:hAnsi="Open Sans" w:cs="Open Sans"/>
          <w:b/>
          <w:color w:val="1A1A2E"/>
          <w:sz w:val="24"/>
        </w:rPr>
        <w:t>5.05 Tubectomy</w:t>
      </w:r>
      <w:r>
        <w:rPr>
          <w:rFonts w:ascii="Open Sans" w:hAnsi="Open Sans" w:cs="Open Sans"/>
          <w:b/>
          <w:color w:val="1A1A2E"/>
          <w:sz w:val="24"/>
        </w:rPr>
      </w:r>
    </w:p>
    <w:p>
      <w:r>
        <w:rPr>
          <w:rFonts w:ascii="Open Sans" w:hAnsi="Open Sans" w:cs="Open Sans"/>
          <w:color w:val="59595B"/>
        </w:rPr>
      </w:r>
      <w:r>
        <w:rPr>
          <w:rFonts w:ascii="Open Sans" w:hAnsi="Open Sans" w:cs="Open Sans"/>
          <w:color w:val="59595B"/>
        </w:rPr>
        <w:t>2 weeks of paid leave immediately following the date of tubectomy operation (Sec. 9A).</w:t>
      </w:r>
      <w:r>
        <w:rPr>
          <w:rFonts w:ascii="Open Sans" w:hAnsi="Open Sans" w:cs="Open Sans"/>
          <w:color w:val="59595B"/>
        </w:rPr>
      </w:r>
    </w:p>
    <w:p>
      <w:pPr>
        <w:pStyle w:val="Heading3"/>
      </w:pPr>
      <w:r>
        <w:rPr>
          <w:rFonts w:ascii="Open Sans" w:hAnsi="Open Sans" w:cs="Open Sans"/>
          <w:b/>
          <w:color w:val="1A1A2E"/>
          <w:sz w:val="24"/>
        </w:rPr>
        <w:t>5.06 Nursing Breaks</w:t>
      </w:r>
      <w:r>
        <w:rPr>
          <w:rFonts w:ascii="Open Sans" w:hAnsi="Open Sans" w:cs="Open Sans"/>
          <w:b/>
          <w:color w:val="1A1A2E"/>
          <w:sz w:val="24"/>
        </w:rPr>
      </w:r>
    </w:p>
    <w:p>
      <w:r>
        <w:rPr>
          <w:rFonts w:ascii="Open Sans" w:hAnsi="Open Sans" w:cs="Open Sans"/>
          <w:color w:val="59595B"/>
        </w:rPr>
      </w:r>
      <w:r>
        <w:rPr>
          <w:rFonts w:ascii="Open Sans" w:hAnsi="Open Sans" w:cs="Open Sans"/>
          <w:color w:val="59595B"/>
        </w:rPr>
        <w:t>Until the child attains 15 months, two nursing breaks per working day in addition to the usual rest interval.</w:t>
      </w:r>
      <w:r>
        <w:rPr>
          <w:rFonts w:ascii="Open Sans" w:hAnsi="Open Sans" w:cs="Open Sans"/>
          <w:color w:val="59595B"/>
        </w:rPr>
      </w:r>
    </w:p>
    <w:p>
      <w:pPr>
        <w:pStyle w:val="Heading2"/>
      </w:pPr>
      <w:r>
        <w:rPr>
          <w:rFonts w:ascii="Open Sans" w:hAnsi="Open Sans" w:cs="Open Sans"/>
          <w:b/>
          <w:color w:val="1A1A2E"/>
          <w:sz w:val="28"/>
        </w:rPr>
        <w:t>6. Application Process</w:t>
      </w:r>
      <w:r>
        <w:rPr>
          <w:rFonts w:ascii="Open Sans" w:hAnsi="Open Sans" w:cs="Open Sans"/>
          <w:b/>
          <w:color w:val="1A1A2E"/>
          <w:sz w:val="28"/>
        </w:rPr>
      </w:r>
    </w:p>
    <w:tbl>
      <w:tblPr>
        <w:tblStyle w:val="LightGrid-Accent1"/>
        <w:tblW w:type="auto" w:w="0"/>
        <w:tblLook w:firstColumn="1" w:firstRow="1" w:lastColumn="0" w:lastRow="0" w:noHBand="0" w:noVBand="1" w:val="04A0"/>
      </w:tblPr>
      <w:tblGrid>
        <w:gridCol w:w="3264"/>
        <w:gridCol w:w="3264"/>
        <w:gridCol w:w="3264"/>
      </w:tblGrid>
      <w:tr>
        <w:tc>
          <w:tcPr>
            <w:tcW w:type="dxa" w:w="3264"/>
          </w:tcPr>
          <w:p>
            <w:r>
              <w:rPr>
                <w:rFonts w:ascii="Open Sans" w:hAnsi="Open Sans"/>
                <w:b/>
                <w:sz w:val="20"/>
              </w:rPr>
              <w:t>Leave Type</w:t>
            </w:r>
          </w:p>
        </w:tc>
        <w:tc>
          <w:tcPr>
            <w:tcW w:type="dxa" w:w="3264"/>
          </w:tcPr>
          <w:p>
            <w:r>
              <w:rPr>
                <w:rFonts w:ascii="Open Sans" w:hAnsi="Open Sans"/>
                <w:b/>
                <w:sz w:val="20"/>
              </w:rPr>
              <w:t>Advance Notice</w:t>
            </w:r>
          </w:p>
        </w:tc>
        <w:tc>
          <w:tcPr>
            <w:tcW w:type="dxa" w:w="3264"/>
          </w:tcPr>
          <w:p>
            <w:r>
              <w:rPr>
                <w:rFonts w:ascii="Open Sans" w:hAnsi="Open Sans"/>
                <w:b/>
                <w:sz w:val="20"/>
              </w:rPr>
              <w:t>Documentation</w:t>
            </w:r>
          </w:p>
        </w:tc>
      </w:tr>
      <w:tr>
        <w:tc>
          <w:tcPr>
            <w:tcW w:type="dxa" w:w="3264"/>
          </w:tcPr>
          <w:p>
            <w:r>
              <w:rPr>
                <w:rFonts w:ascii="Open Sans" w:hAnsi="Open Sans"/>
                <w:sz w:val="20"/>
              </w:rPr>
              <w:t>EL</w:t>
            </w:r>
          </w:p>
        </w:tc>
        <w:tc>
          <w:tcPr>
            <w:tcW w:type="dxa" w:w="3264"/>
          </w:tcPr>
          <w:p>
            <w:r>
              <w:rPr>
                <w:rFonts w:ascii="Open Sans" w:hAnsi="Open Sans"/>
                <w:sz w:val="20"/>
              </w:rPr>
              <w:t>At least 7 working days before start; block EL (&gt;5 days) 15 days' notice</w:t>
            </w:r>
          </w:p>
        </w:tc>
        <w:tc>
          <w:tcPr>
            <w:tcW w:type="dxa" w:w="3264"/>
          </w:tcPr>
          <w:p>
            <w:r>
              <w:rPr>
                <w:rFonts w:ascii="Open Sans" w:hAnsi="Open Sans"/>
                <w:sz w:val="20"/>
              </w:rPr>
              <w:t>HR system leave request</w:t>
            </w:r>
          </w:p>
        </w:tc>
      </w:tr>
      <w:tr>
        <w:tc>
          <w:tcPr>
            <w:tcW w:type="dxa" w:w="3264"/>
          </w:tcPr>
          <w:p>
            <w:r>
              <w:rPr>
                <w:rFonts w:ascii="Open Sans" w:hAnsi="Open Sans"/>
                <w:sz w:val="20"/>
              </w:rPr>
              <w:t>CL</w:t>
            </w:r>
          </w:p>
        </w:tc>
        <w:tc>
          <w:tcPr>
            <w:tcW w:type="dxa" w:w="3264"/>
          </w:tcPr>
          <w:p>
            <w:r>
              <w:rPr>
                <w:rFonts w:ascii="Open Sans" w:hAnsi="Open Sans"/>
                <w:sz w:val="20"/>
              </w:rPr>
              <w:t>At least 48 hours in advance</w:t>
            </w:r>
          </w:p>
        </w:tc>
        <w:tc>
          <w:tcPr>
            <w:tcW w:type="dxa" w:w="3264"/>
          </w:tcPr>
          <w:p>
            <w:r>
              <w:rPr>
                <w:rFonts w:ascii="Open Sans" w:hAnsi="Open Sans"/>
                <w:sz w:val="20"/>
              </w:rPr>
              <w:t>HR system leave request</w:t>
            </w:r>
          </w:p>
        </w:tc>
      </w:tr>
      <w:tr>
        <w:tc>
          <w:tcPr>
            <w:tcW w:type="dxa" w:w="3264"/>
          </w:tcPr>
          <w:p>
            <w:r>
              <w:rPr>
                <w:rFonts w:ascii="Open Sans" w:hAnsi="Open Sans"/>
                <w:sz w:val="20"/>
              </w:rPr>
              <w:t>SL</w:t>
            </w:r>
          </w:p>
        </w:tc>
        <w:tc>
          <w:tcPr>
            <w:tcW w:type="dxa" w:w="3264"/>
          </w:tcPr>
          <w:p>
            <w:r>
              <w:rPr>
                <w:rFonts w:ascii="Open Sans" w:hAnsi="Open Sans"/>
                <w:sz w:val="20"/>
              </w:rPr>
              <w:t>Same day notification to manager before shift start; retrospective application on return</w:t>
            </w:r>
          </w:p>
        </w:tc>
        <w:tc>
          <w:tcPr>
            <w:tcW w:type="dxa" w:w="3264"/>
          </w:tcPr>
          <w:p>
            <w:r>
              <w:rPr>
                <w:rFonts w:ascii="Open Sans" w:hAnsi="Open Sans"/>
                <w:sz w:val="20"/>
              </w:rPr>
              <w:t>Medical certificate for &gt;2 consecutive days</w:t>
            </w:r>
          </w:p>
        </w:tc>
      </w:tr>
      <w:tr>
        <w:tc>
          <w:tcPr>
            <w:tcW w:type="dxa" w:w="3264"/>
          </w:tcPr>
          <w:p>
            <w:r>
              <w:rPr>
                <w:rFonts w:ascii="Open Sans" w:hAnsi="Open Sans"/>
                <w:sz w:val="20"/>
              </w:rPr>
              <w:t>Maternity</w:t>
            </w:r>
          </w:p>
        </w:tc>
        <w:tc>
          <w:tcPr>
            <w:tcW w:type="dxa" w:w="3264"/>
          </w:tcPr>
          <w:p>
            <w:r>
              <w:rPr>
                <w:rFonts w:ascii="Open Sans" w:hAnsi="Open Sans"/>
                <w:sz w:val="20"/>
              </w:rPr>
              <w:t>At least 8 weeks before expected leave start</w:t>
            </w:r>
          </w:p>
        </w:tc>
        <w:tc>
          <w:tcPr>
            <w:tcW w:type="dxa" w:w="3264"/>
          </w:tcPr>
          <w:p>
            <w:r>
              <w:rPr>
                <w:rFonts w:ascii="Open Sans" w:hAnsi="Open Sans"/>
                <w:sz w:val="20"/>
              </w:rPr>
              <w:t>Medical certificate / letter from qualified practitioner</w:t>
            </w:r>
          </w:p>
        </w:tc>
      </w:tr>
      <w:tr>
        <w:tc>
          <w:tcPr>
            <w:tcW w:type="dxa" w:w="3264"/>
          </w:tcPr>
          <w:p>
            <w:r>
              <w:rPr>
                <w:rFonts w:ascii="Open Sans" w:hAnsi="Open Sans"/>
                <w:sz w:val="20"/>
              </w:rPr>
              <w:t>Adoption</w:t>
            </w:r>
          </w:p>
        </w:tc>
        <w:tc>
          <w:tcPr>
            <w:tcW w:type="dxa" w:w="3264"/>
          </w:tcPr>
          <w:p>
            <w:r>
              <w:rPr>
                <w:rFonts w:ascii="Open Sans" w:hAnsi="Open Sans"/>
                <w:sz w:val="20"/>
              </w:rPr>
              <w:t>As soon as handover date is known</w:t>
            </w:r>
          </w:p>
        </w:tc>
        <w:tc>
          <w:tcPr>
            <w:tcW w:type="dxa" w:w="3264"/>
          </w:tcPr>
          <w:p>
            <w:r>
              <w:rPr>
                <w:rFonts w:ascii="Open Sans" w:hAnsi="Open Sans"/>
                <w:sz w:val="20"/>
              </w:rPr>
              <w:t>Adoption order / surrogacy agreement</w:t>
            </w:r>
          </w:p>
        </w:tc>
      </w:tr>
      <w:tr>
        <w:tc>
          <w:tcPr>
            <w:tcW w:type="dxa" w:w="3264"/>
          </w:tcPr>
          <w:p>
            <w:r>
              <w:rPr>
                <w:rFonts w:ascii="Open Sans" w:hAnsi="Open Sans"/>
                <w:sz w:val="20"/>
              </w:rPr>
              <w:t>Paternity</w:t>
            </w:r>
          </w:p>
        </w:tc>
        <w:tc>
          <w:tcPr>
            <w:tcW w:type="dxa" w:w="3264"/>
          </w:tcPr>
          <w:p>
            <w:r>
              <w:rPr>
                <w:rFonts w:ascii="Open Sans" w:hAnsi="Open Sans"/>
                <w:sz w:val="20"/>
              </w:rPr>
              <w:t>At least 7 days' notice where foreseeable</w:t>
            </w:r>
          </w:p>
        </w:tc>
        <w:tc>
          <w:tcPr>
            <w:tcW w:type="dxa" w:w="3264"/>
          </w:tcPr>
          <w:p>
            <w:r>
              <w:rPr>
                <w:rFonts w:ascii="Open Sans" w:hAnsi="Open Sans"/>
                <w:sz w:val="20"/>
              </w:rPr>
              <w:t>Birth certificate (submitted post-facto)</w:t>
            </w:r>
          </w:p>
        </w:tc>
      </w:tr>
      <w:tr>
        <w:tc>
          <w:tcPr>
            <w:tcW w:type="dxa" w:w="3264"/>
          </w:tcPr>
          <w:p>
            <w:r>
              <w:rPr>
                <w:rFonts w:ascii="Open Sans" w:hAnsi="Open Sans"/>
                <w:sz w:val="20"/>
              </w:rPr>
              <w:t>Bereavement</w:t>
            </w:r>
          </w:p>
        </w:tc>
        <w:tc>
          <w:tcPr>
            <w:tcW w:type="dxa" w:w="3264"/>
          </w:tcPr>
          <w:p>
            <w:r>
              <w:rPr>
                <w:rFonts w:ascii="Open Sans" w:hAnsi="Open Sans"/>
                <w:sz w:val="20"/>
              </w:rPr>
              <w:t>Immediate intimation to manager</w:t>
            </w:r>
          </w:p>
        </w:tc>
        <w:tc>
          <w:tcPr>
            <w:tcW w:type="dxa" w:w="3264"/>
          </w:tcPr>
          <w:p>
            <w:r>
              <w:rPr>
                <w:rFonts w:ascii="Open Sans" w:hAnsi="Open Sans"/>
                <w:sz w:val="20"/>
              </w:rPr>
              <w:t>Nil required</w:t>
            </w:r>
          </w:p>
        </w:tc>
      </w:tr>
      <w:tr>
        <w:tc>
          <w:tcPr>
            <w:tcW w:type="dxa" w:w="3264"/>
          </w:tcPr>
          <w:p>
            <w:r>
              <w:rPr>
                <w:rFonts w:ascii="Open Sans" w:hAnsi="Open Sans"/>
                <w:sz w:val="20"/>
              </w:rPr>
              <w:t>Marriage</w:t>
            </w:r>
          </w:p>
        </w:tc>
        <w:tc>
          <w:tcPr>
            <w:tcW w:type="dxa" w:w="3264"/>
          </w:tcPr>
          <w:p>
            <w:r>
              <w:rPr>
                <w:rFonts w:ascii="Open Sans" w:hAnsi="Open Sans"/>
                <w:sz w:val="20"/>
              </w:rPr>
              <w:t>At least 15 days' notice</w:t>
            </w:r>
          </w:p>
        </w:tc>
        <w:tc>
          <w:tcPr>
            <w:tcW w:type="dxa" w:w="3264"/>
          </w:tcPr>
          <w:p>
            <w:r>
              <w:rPr>
                <w:rFonts w:ascii="Open Sans" w:hAnsi="Open Sans"/>
                <w:sz w:val="20"/>
              </w:rPr>
              <w:t>Wedding invitation</w:t>
            </w:r>
          </w:p>
        </w:tc>
      </w:tr>
      <w:tr>
        <w:tc>
          <w:tcPr>
            <w:tcW w:type="dxa" w:w="3264"/>
          </w:tcPr>
          <w:p>
            <w:r>
              <w:rPr>
                <w:rFonts w:ascii="Open Sans" w:hAnsi="Open Sans"/>
                <w:sz w:val="20"/>
              </w:rPr>
              <w:t>Comp-Off</w:t>
            </w:r>
          </w:p>
        </w:tc>
        <w:tc>
          <w:tcPr>
            <w:tcW w:type="dxa" w:w="3264"/>
          </w:tcPr>
          <w:p>
            <w:r>
              <w:rPr>
                <w:rFonts w:ascii="Open Sans" w:hAnsi="Open Sans"/>
                <w:sz w:val="20"/>
              </w:rPr>
              <w:t>Prior manager approval to work on off-day; availment via HR system</w:t>
            </w:r>
          </w:p>
        </w:tc>
        <w:tc>
          <w:tcPr>
            <w:tcW w:type="dxa" w:w="3264"/>
          </w:tcPr>
          <w:p>
            <w:r>
              <w:rPr>
                <w:rFonts w:ascii="Open Sans" w:hAnsi="Open Sans"/>
                <w:sz w:val="20"/>
              </w:rPr>
              <w:t>Approval trail</w:t>
            </w:r>
          </w:p>
        </w:tc>
      </w:tr>
    </w:tbl>
    <w:p>
      <w:r>
        <w:rPr>
          <w:rFonts w:ascii="Open Sans" w:hAnsi="Open Sans" w:cs="Open Sans"/>
          <w:color w:val="59595B"/>
        </w:rPr>
      </w:r>
    </w:p>
    <w:p>
      <w:r>
        <w:rPr>
          <w:rFonts w:ascii="Open Sans" w:hAnsi="Open Sans" w:cs="Open Sans"/>
          <w:color w:val="59595B"/>
        </w:rPr>
      </w:r>
      <w:r>
        <w:rPr>
          <w:rFonts w:ascii="Open Sans" w:hAnsi="Open Sans" w:cs="Open Sans"/>
          <w:color w:val="59595B"/>
        </w:rPr>
        <w:t>All leave requires reporting-manager approval, except statutory Maternity, Miscarriage, and Tubectomy leave under the Maternity Benefit Act, which are a matter of right subject to eligibility and notice.</w:t>
      </w:r>
      <w:r>
        <w:rPr>
          <w:rFonts w:ascii="Open Sans" w:hAnsi="Open Sans" w:cs="Open Sans"/>
          <w:color w:val="59595B"/>
        </w:rPr>
      </w:r>
    </w:p>
    <w:p>
      <w:pPr>
        <w:pStyle w:val="Heading2"/>
      </w:pPr>
      <w:r>
        <w:rPr>
          <w:rFonts w:ascii="Open Sans" w:hAnsi="Open Sans" w:cs="Open Sans"/>
          <w:b/>
          <w:color w:val="1A1A2E"/>
          <w:sz w:val="28"/>
        </w:rPr>
        <w:t>7. Unapproved Absence</w:t>
      </w:r>
      <w:r>
        <w:rPr>
          <w:rFonts w:ascii="Open Sans" w:hAnsi="Open Sans" w:cs="Open Sans"/>
          <w:b/>
          <w:color w:val="1A1A2E"/>
          <w:sz w:val="28"/>
        </w:rPr>
      </w:r>
    </w:p>
    <w:p>
      <w:pPr>
        <w:pStyle w:val="Heading3"/>
      </w:pPr>
      <w:r>
        <w:rPr>
          <w:rFonts w:ascii="Open Sans" w:hAnsi="Open Sans" w:cs="Open Sans"/>
          <w:b/>
          <w:color w:val="1A1A2E"/>
          <w:sz w:val="24"/>
        </w:rPr>
        <w:t>7.01</w:t>
      </w:r>
      <w:r>
        <w:rPr>
          <w:rFonts w:ascii="Open Sans" w:hAnsi="Open Sans" w:cs="Open Sans"/>
          <w:b/>
          <w:color w:val="1A1A2E"/>
          <w:sz w:val="24"/>
        </w:rPr>
      </w:r>
    </w:p>
    <w:p>
      <w:r>
        <w:rPr>
          <w:rFonts w:ascii="Open Sans" w:hAnsi="Open Sans" w:cs="Open Sans"/>
          <w:color w:val="59595B"/>
        </w:rPr>
      </w:r>
      <w:r>
        <w:rPr>
          <w:rFonts w:ascii="Open Sans" w:hAnsi="Open Sans" w:cs="Open Sans"/>
          <w:color w:val="59595B"/>
        </w:rPr>
        <w:t xml:space="preserve">Absence of </w:t>
      </w:r>
      <w:r>
        <w:rPr>
          <w:rFonts w:ascii="Open Sans" w:hAnsi="Open Sans" w:cs="Open Sans"/>
          <w:b/>
          <w:color w:val="59595B"/>
        </w:rPr>
        <w:t>3 (three) or more consecutive working days</w:t>
      </w:r>
      <w:r>
        <w:rPr>
          <w:rFonts w:ascii="Open Sans" w:hAnsi="Open Sans" w:cs="Open Sans"/>
          <w:color w:val="59595B"/>
        </w:rPr>
        <w:t xml:space="preserve"> without prior approval or credible communication to the reporting manager / HR shall constitute unauthorized absence.</w:t>
      </w:r>
      <w:r>
        <w:rPr>
          <w:rFonts w:ascii="Open Sans" w:hAnsi="Open Sans" w:cs="Open Sans"/>
          <w:color w:val="59595B"/>
        </w:rPr>
      </w:r>
    </w:p>
    <w:p>
      <w:pPr>
        <w:pStyle w:val="Heading3"/>
      </w:pPr>
      <w:r>
        <w:rPr>
          <w:rFonts w:ascii="Open Sans" w:hAnsi="Open Sans" w:cs="Open Sans"/>
          <w:b/>
          <w:color w:val="1A1A2E"/>
          <w:sz w:val="24"/>
        </w:rPr>
        <w:t>7.02</w:t>
      </w:r>
      <w:r>
        <w:rPr>
          <w:rFonts w:ascii="Open Sans" w:hAnsi="Open Sans" w:cs="Open Sans"/>
          <w:b/>
          <w:color w:val="1A1A2E"/>
          <w:sz w:val="24"/>
        </w:rPr>
      </w:r>
    </w:p>
    <w:p>
      <w:r>
        <w:rPr>
          <w:rFonts w:ascii="Open Sans" w:hAnsi="Open Sans" w:cs="Open Sans"/>
          <w:color w:val="59595B"/>
        </w:rPr>
      </w:r>
      <w:r>
        <w:rPr>
          <w:rFonts w:ascii="Open Sans" w:hAnsi="Open Sans" w:cs="Open Sans"/>
          <w:color w:val="59595B"/>
        </w:rPr>
        <w:t xml:space="preserve">Unauthorized absence will be treated as misconduct under the Disciplinary policy and will invite a </w:t>
      </w:r>
      <w:r>
        <w:rPr>
          <w:rFonts w:ascii="Open Sans" w:hAnsi="Open Sans" w:cs="Open Sans"/>
          <w:b/>
          <w:color w:val="59595B"/>
        </w:rPr>
        <w:t>Show Cause Notice</w:t>
      </w:r>
      <w:r>
        <w:rPr>
          <w:rFonts w:ascii="Open Sans" w:hAnsi="Open Sans" w:cs="Open Sans"/>
          <w:color w:val="59595B"/>
        </w:rPr>
        <w:t>, after which the matter may escalate to Charge Sheet, Inquiry, and termination for cause as warranted under the Industrial Employment (Standing Orders) Act, 1946 and the Company's Disciplinary policy.</w:t>
      </w:r>
      <w:r>
        <w:rPr>
          <w:rFonts w:ascii="Open Sans" w:hAnsi="Open Sans" w:cs="Open Sans"/>
          <w:color w:val="59595B"/>
        </w:rPr>
      </w:r>
    </w:p>
    <w:p>
      <w:pPr>
        <w:pStyle w:val="Heading3"/>
      </w:pPr>
      <w:r>
        <w:rPr>
          <w:rFonts w:ascii="Open Sans" w:hAnsi="Open Sans" w:cs="Open Sans"/>
          <w:b/>
          <w:color w:val="1A1A2E"/>
          <w:sz w:val="24"/>
        </w:rPr>
        <w:t>7.03</w:t>
      </w:r>
      <w:r>
        <w:rPr>
          <w:rFonts w:ascii="Open Sans" w:hAnsi="Open Sans" w:cs="Open Sans"/>
          <w:b/>
          <w:color w:val="1A1A2E"/>
          <w:sz w:val="24"/>
        </w:rPr>
      </w:r>
    </w:p>
    <w:p>
      <w:r>
        <w:rPr>
          <w:rFonts w:ascii="Open Sans" w:hAnsi="Open Sans" w:cs="Open Sans"/>
          <w:color w:val="59595B"/>
        </w:rPr>
      </w:r>
      <w:r>
        <w:rPr>
          <w:rFonts w:ascii="Open Sans" w:hAnsi="Open Sans" w:cs="Open Sans"/>
          <w:color w:val="59595B"/>
        </w:rPr>
        <w:t xml:space="preserve">Absence of </w:t>
      </w:r>
      <w:r>
        <w:rPr>
          <w:rFonts w:ascii="Open Sans" w:hAnsi="Open Sans" w:cs="Open Sans"/>
          <w:b/>
          <w:color w:val="59595B"/>
        </w:rPr>
        <w:t>7 (seven) or more consecutive working days</w:t>
      </w:r>
      <w:r>
        <w:rPr>
          <w:rFonts w:ascii="Open Sans" w:hAnsi="Open Sans" w:cs="Open Sans"/>
          <w:color w:val="59595B"/>
        </w:rPr>
        <w:t xml:space="preserve"> without intimation may, at the Company's discretion, be treated as voluntary abandonment of service.</w:t>
      </w:r>
      <w:r>
        <w:rPr>
          <w:rFonts w:ascii="Open Sans" w:hAnsi="Open Sans" w:cs="Open Sans"/>
          <w:color w:val="59595B"/>
        </w:rPr>
      </w:r>
    </w:p>
    <w:p>
      <w:pPr>
        <w:pStyle w:val="Heading2"/>
      </w:pPr>
      <w:r>
        <w:rPr>
          <w:rFonts w:ascii="Open Sans" w:hAnsi="Open Sans" w:cs="Open Sans"/>
          <w:b/>
          <w:color w:val="1A1A2E"/>
          <w:sz w:val="28"/>
        </w:rPr>
        <w:t>8. Encashment on Separation</w:t>
      </w:r>
      <w:r>
        <w:rPr>
          <w:rFonts w:ascii="Open Sans" w:hAnsi="Open Sans" w:cs="Open Sans"/>
          <w:b/>
          <w:color w:val="1A1A2E"/>
          <w:sz w:val="28"/>
        </w:rPr>
      </w:r>
    </w:p>
    <w:p>
      <w:pPr>
        <w:pStyle w:val="Heading3"/>
      </w:pPr>
      <w:r>
        <w:rPr>
          <w:rFonts w:ascii="Open Sans" w:hAnsi="Open Sans" w:cs="Open Sans"/>
          <w:b/>
          <w:color w:val="1A1A2E"/>
          <w:sz w:val="24"/>
        </w:rPr>
        <w:t>8.01</w:t>
      </w:r>
      <w:r>
        <w:rPr>
          <w:rFonts w:ascii="Open Sans" w:hAnsi="Open Sans" w:cs="Open Sans"/>
          <w:b/>
          <w:color w:val="1A1A2E"/>
          <w:sz w:val="24"/>
        </w:rPr>
      </w:r>
    </w:p>
    <w:p>
      <w:r>
        <w:rPr>
          <w:rFonts w:ascii="Open Sans" w:hAnsi="Open Sans" w:cs="Open Sans"/>
          <w:color w:val="59595B"/>
        </w:rPr>
      </w:r>
      <w:r>
        <w:rPr>
          <w:rFonts w:ascii="Open Sans" w:hAnsi="Open Sans" w:cs="Open Sans"/>
          <w:color w:val="59595B"/>
        </w:rPr>
        <w:t>On cessation of employment (resignation, retirement, termination other than for cause involving moral turpitude), accumulated EL up to the cap of 30 days is encashed and paid in the Full &amp; Final settlement.</w:t>
      </w:r>
      <w:r>
        <w:rPr>
          <w:rFonts w:ascii="Open Sans" w:hAnsi="Open Sans" w:cs="Open Sans"/>
          <w:color w:val="59595B"/>
        </w:rPr>
      </w:r>
    </w:p>
    <w:p>
      <w:pPr>
        <w:pStyle w:val="Heading3"/>
      </w:pPr>
      <w:r>
        <w:rPr>
          <w:rFonts w:ascii="Open Sans" w:hAnsi="Open Sans" w:cs="Open Sans"/>
          <w:b/>
          <w:color w:val="1A1A2E"/>
          <w:sz w:val="24"/>
        </w:rPr>
        <w:t>8.02</w:t>
      </w:r>
      <w:r>
        <w:rPr>
          <w:rFonts w:ascii="Open Sans" w:hAnsi="Open Sans" w:cs="Open Sans"/>
          <w:b/>
          <w:color w:val="1A1A2E"/>
          <w:sz w:val="24"/>
        </w:rPr>
      </w:r>
    </w:p>
    <w:p>
      <w:r>
        <w:rPr>
          <w:rFonts w:ascii="Open Sans" w:hAnsi="Open Sans" w:cs="Open Sans"/>
          <w:color w:val="59595B"/>
        </w:rPr>
      </w:r>
      <w:r>
        <w:rPr>
          <w:rFonts w:ascii="Open Sans" w:hAnsi="Open Sans" w:cs="Open Sans"/>
          <w:color w:val="59595B"/>
        </w:rPr>
        <w:t>Encashment computation:</w:t>
      </w:r>
      <w:r>
        <w:rPr>
          <w:rFonts w:ascii="Open Sans" w:hAnsi="Open Sans" w:cs="Open Sans"/>
          <w:color w:val="59595B"/>
        </w:rPr>
      </w:r>
    </w:p>
    <w:p>
      <w:r>
        <w:rPr>
          <w:rFonts w:ascii="Open Sans" w:hAnsi="Open Sans" w:cs="Open Sans"/>
          <w:color w:val="59595B"/>
        </w:rPr>
      </w:r>
      <w:r>
        <w:rPr>
          <w:rFonts w:ascii="Open Sans" w:hAnsi="Open Sans" w:cs="Open Sans"/>
          <w:color w:val="59595B"/>
        </w:rPr>
        <w:t>Encashment = (Basic Salary per month ÷ 26) × Unused EL days (capped at 30)</w:t>
      </w:r>
      <w:r>
        <w:rPr>
          <w:rFonts w:ascii="Open Sans" w:hAnsi="Open Sans" w:cs="Open Sans"/>
          <w:color w:val="59595B"/>
        </w:rPr>
      </w:r>
    </w:p>
    <w:p>
      <w:r>
        <w:rPr>
          <w:rFonts w:ascii="Open Sans" w:hAnsi="Open Sans" w:cs="Open Sans"/>
          <w:color w:val="59595B"/>
        </w:rPr>
      </w:r>
      <w:r>
        <w:rPr>
          <w:rFonts w:ascii="Open Sans" w:hAnsi="Open Sans" w:cs="Open Sans"/>
          <w:color w:val="59595B"/>
        </w:rPr>
        <w:t>This formula uses the 26-day divisor consistent with the method prescribed under the Payment of Gratuity Act, 1972 and widely applied under State Shops &amp; Establishments rules.</w:t>
      </w:r>
      <w:r>
        <w:rPr>
          <w:rFonts w:ascii="Open Sans" w:hAnsi="Open Sans" w:cs="Open Sans"/>
          <w:color w:val="59595B"/>
        </w:rPr>
      </w:r>
    </w:p>
    <w:p>
      <w:pPr>
        <w:pStyle w:val="Heading3"/>
      </w:pPr>
      <w:r>
        <w:rPr>
          <w:rFonts w:ascii="Open Sans" w:hAnsi="Open Sans" w:cs="Open Sans"/>
          <w:b/>
          <w:color w:val="1A1A2E"/>
          <w:sz w:val="24"/>
        </w:rPr>
        <w:t>8.03</w:t>
      </w:r>
      <w:r>
        <w:rPr>
          <w:rFonts w:ascii="Open Sans" w:hAnsi="Open Sans" w:cs="Open Sans"/>
          <w:b/>
          <w:color w:val="1A1A2E"/>
          <w:sz w:val="24"/>
        </w:rPr>
      </w:r>
    </w:p>
    <w:p>
      <w:r>
        <w:rPr>
          <w:rFonts w:ascii="Open Sans" w:hAnsi="Open Sans" w:cs="Open Sans"/>
          <w:color w:val="59595B"/>
        </w:rPr>
      </w:r>
      <w:r>
        <w:rPr>
          <w:rFonts w:ascii="Open Sans" w:hAnsi="Open Sans" w:cs="Open Sans"/>
          <w:color w:val="59595B"/>
        </w:rPr>
        <w:t xml:space="preserve">CL and SL are </w:t>
      </w:r>
      <w:r>
        <w:rPr>
          <w:rFonts w:ascii="Open Sans" w:hAnsi="Open Sans" w:cs="Open Sans"/>
          <w:b/>
          <w:color w:val="59595B"/>
        </w:rPr>
        <w:t>not</w:t>
      </w:r>
      <w:r>
        <w:rPr>
          <w:rFonts w:ascii="Open Sans" w:hAnsi="Open Sans" w:cs="Open Sans"/>
          <w:color w:val="59595B"/>
        </w:rPr>
        <w:t xml:space="preserve"> encashable.</w:t>
      </w:r>
      <w:r>
        <w:rPr>
          <w:rFonts w:ascii="Open Sans" w:hAnsi="Open Sans" w:cs="Open Sans"/>
          <w:color w:val="59595B"/>
        </w:rPr>
      </w:r>
    </w:p>
    <w:p>
      <w:pPr>
        <w:pStyle w:val="Heading3"/>
      </w:pPr>
      <w:r>
        <w:rPr>
          <w:rFonts w:ascii="Open Sans" w:hAnsi="Open Sans" w:cs="Open Sans"/>
          <w:b/>
          <w:color w:val="1A1A2E"/>
          <w:sz w:val="24"/>
        </w:rPr>
        <w:t>8.04</w:t>
      </w:r>
      <w:r>
        <w:rPr>
          <w:rFonts w:ascii="Open Sans" w:hAnsi="Open Sans" w:cs="Open Sans"/>
          <w:b/>
          <w:color w:val="1A1A2E"/>
          <w:sz w:val="24"/>
        </w:rPr>
      </w:r>
    </w:p>
    <w:p>
      <w:r>
        <w:rPr>
          <w:rFonts w:ascii="Open Sans" w:hAnsi="Open Sans" w:cs="Open Sans"/>
          <w:color w:val="59595B"/>
        </w:rPr>
      </w:r>
      <w:r>
        <w:rPr>
          <w:rFonts w:ascii="Open Sans" w:hAnsi="Open Sans" w:cs="Open Sans"/>
          <w:color w:val="59595B"/>
        </w:rPr>
        <w:t>Maternity / statutory leave, if interrupted by separation, is handled per Maternity Benefit Act provisions.</w:t>
      </w:r>
      <w:r>
        <w:rPr>
          <w:rFonts w:ascii="Open Sans" w:hAnsi="Open Sans" w:cs="Open Sans"/>
          <w:color w:val="59595B"/>
        </w:rPr>
      </w:r>
    </w:p>
    <w:p>
      <w:pPr>
        <w:pStyle w:val="Heading2"/>
      </w:pPr>
      <w:r>
        <w:rPr>
          <w:rFonts w:ascii="Open Sans" w:hAnsi="Open Sans" w:cs="Open Sans"/>
          <w:b/>
          <w:color w:val="1A1A2E"/>
          <w:sz w:val="28"/>
        </w:rPr>
        <w:t>9. Combining Leaves</w:t>
      </w:r>
      <w:r>
        <w:rPr>
          <w:rFonts w:ascii="Open Sans" w:hAnsi="Open Sans" w:cs="Open Sans"/>
          <w:b/>
          <w:color w:val="1A1A2E"/>
          <w:sz w:val="28"/>
        </w:rPr>
      </w:r>
      <w:r>
        <w:rPr>
          <w:rFonts w:ascii="Open Sans" w:hAnsi="Open Sans" w:cs="Open Sans"/>
          <w:b/>
          <w:color w:val="1A1A2E"/>
          <w:sz w:val="28"/>
        </w:rPr>
      </w:r>
    </w:p>
    <w:p>
      <w:pPr>
        <w:pStyle w:val="ListBullet"/>
        <w:spacing w:line="240" w:lineRule="auto"/>
        <w:ind w:left="720"/>
      </w:pPr>
      <w:r>
        <w:rPr>
          <w:rFonts w:ascii="Open Sans" w:hAnsi="Open Sans" w:cs="Open Sans"/>
          <w:color w:val="59595B"/>
        </w:rPr>
      </w:r>
      <w:r>
        <w:rPr>
          <w:rFonts w:ascii="Open Sans" w:hAnsi="Open Sans" w:cs="Open Sans"/>
          <w:color w:val="59595B"/>
        </w:rPr>
        <w:t>EL, CL, and SL may be combined with weekly off / public holidays; intervening holidays within a leave block shall not be deducted from the leave account.</w:t>
      </w:r>
      <w:r>
        <w:rPr>
          <w:rFonts w:ascii="Open Sans" w:hAnsi="Open Sans" w:cs="Open Sans"/>
          <w:color w:val="59595B"/>
        </w:rPr>
      </w:r>
    </w:p>
    <w:p>
      <w:pPr>
        <w:pStyle w:val="ListBullet"/>
        <w:spacing w:line="240" w:lineRule="auto"/>
        <w:ind w:left="720"/>
      </w:pPr>
      <w:r>
        <w:rPr>
          <w:rFonts w:ascii="Open Sans" w:hAnsi="Open Sans" w:cs="Open Sans"/>
          <w:color w:val="59595B"/>
        </w:rPr>
      </w:r>
      <w:r>
        <w:rPr>
          <w:rFonts w:ascii="Open Sans" w:hAnsi="Open Sans" w:cs="Open Sans"/>
          <w:color w:val="59595B"/>
        </w:rPr>
        <w:t>CL and SL may not be availed for more than 5 continuous working days each without manager and HR approval.</w:t>
      </w:r>
      <w:r>
        <w:rPr>
          <w:rFonts w:ascii="Open Sans" w:hAnsi="Open Sans" w:cs="Open Sans"/>
          <w:color w:val="59595B"/>
        </w:rPr>
      </w:r>
    </w:p>
    <w:p>
      <w:pPr>
        <w:pStyle w:val="ListBullet"/>
        <w:spacing w:line="240" w:lineRule="auto"/>
        <w:ind w:left="720"/>
      </w:pPr>
      <w:r>
        <w:rPr>
          <w:rFonts w:ascii="Open Sans" w:hAnsi="Open Sans" w:cs="Open Sans"/>
          <w:color w:val="59595B"/>
        </w:rPr>
      </w:r>
      <w:r>
        <w:rPr>
          <w:rFonts w:ascii="Open Sans" w:hAnsi="Open Sans" w:cs="Open Sans"/>
          <w:color w:val="59595B"/>
        </w:rPr>
        <w:t>EL and CL may not be combined in a manner that converts CL into a block longer than its 7-day annual limit.</w:t>
      </w:r>
      <w:r>
        <w:rPr>
          <w:rFonts w:ascii="Open Sans" w:hAnsi="Open Sans" w:cs="Open Sans"/>
          <w:color w:val="59595B"/>
        </w:rPr>
      </w:r>
      <w:r>
        <w:rPr>
          <w:rFonts w:ascii="Open Sans" w:hAnsi="Open Sans" w:cs="Open Sans"/>
          <w:color w:val="59595B"/>
        </w:rPr>
      </w:r>
    </w:p>
    <w:p>
      <w:pPr>
        <w:pStyle w:val="Heading2"/>
      </w:pPr>
      <w:r>
        <w:rPr>
          <w:rFonts w:ascii="Open Sans" w:hAnsi="Open Sans" w:cs="Open Sans"/>
          <w:b/>
          <w:color w:val="1A1A2E"/>
          <w:sz w:val="28"/>
        </w:rPr>
        <w:t>10. Public Holidays</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The Company will publish, by 15 January of each leave year, the list of observed public holidays (national, State of Haryana, and optional holidays permitted by gazette). This list forms part of this policy by reference.</w:t>
      </w:r>
      <w:r>
        <w:rPr>
          <w:rFonts w:ascii="Open Sans" w:hAnsi="Open Sans" w:cs="Open Sans"/>
          <w:color w:val="59595B"/>
        </w:rPr>
      </w:r>
    </w:p>
    <w:p>
      <w:pPr>
        <w:pStyle w:val="Heading2"/>
      </w:pPr>
      <w:r>
        <w:rPr>
          <w:rFonts w:ascii="Open Sans" w:hAnsi="Open Sans" w:cs="Open Sans"/>
          <w:b/>
          <w:color w:val="1A1A2E"/>
          <w:sz w:val="28"/>
        </w:rPr>
        <w:t>11. Policy Administration</w:t>
      </w:r>
      <w:r>
        <w:rPr>
          <w:rFonts w:ascii="Open Sans" w:hAnsi="Open Sans" w:cs="Open Sans"/>
          <w:b/>
          <w:color w:val="1A1A2E"/>
          <w:sz w:val="28"/>
        </w:rPr>
      </w:r>
      <w:r>
        <w:rPr>
          <w:rFonts w:ascii="Open Sans" w:hAnsi="Open Sans" w:cs="Open Sans"/>
          <w:b/>
          <w:color w:val="1A1A2E"/>
          <w:sz w:val="28"/>
        </w:rPr>
      </w:r>
    </w:p>
    <w:p>
      <w:pPr>
        <w:pStyle w:val="ListBullet"/>
        <w:spacing w:line="240" w:lineRule="auto"/>
        <w:ind w:left="720"/>
      </w:pPr>
      <w:r>
        <w:rPr>
          <w:rFonts w:ascii="Open Sans" w:hAnsi="Open Sans" w:cs="Open Sans"/>
          <w:color w:val="59595B"/>
        </w:rPr>
      </w:r>
      <w:r>
        <w:rPr>
          <w:rFonts w:ascii="Open Sans" w:hAnsi="Open Sans" w:cs="Open Sans"/>
          <w:b/>
          <w:color w:val="59595B"/>
        </w:rPr>
        <w:t>Owner:</w:t>
      </w:r>
      <w:r>
        <w:rPr>
          <w:rFonts w:ascii="Open Sans" w:hAnsi="Open Sans" w:cs="Open Sans"/>
          <w:color w:val="59595B"/>
        </w:rPr>
        <w:t xml:space="preserve"> HR India (hr-india@technijian.com)</w:t>
      </w:r>
      <w:r>
        <w:rPr>
          <w:rFonts w:ascii="Open Sans" w:hAnsi="Open Sans" w:cs="Open Sans"/>
          <w:color w:val="59595B"/>
        </w:rPr>
      </w:r>
    </w:p>
    <w:p>
      <w:pPr>
        <w:pStyle w:val="ListBullet"/>
        <w:spacing w:line="240" w:lineRule="auto"/>
        <w:ind w:left="720"/>
      </w:pPr>
      <w:r>
        <w:rPr>
          <w:rFonts w:ascii="Open Sans" w:hAnsi="Open Sans" w:cs="Open Sans"/>
          <w:color w:val="59595B"/>
        </w:rPr>
      </w:r>
      <w:r>
        <w:rPr>
          <w:rFonts w:ascii="Open Sans" w:hAnsi="Open Sans" w:cs="Open Sans"/>
          <w:b/>
          <w:color w:val="59595B"/>
        </w:rPr>
        <w:t>Reviewed by:</w:t>
      </w:r>
      <w:r>
        <w:rPr>
          <w:rFonts w:ascii="Open Sans" w:hAnsi="Open Sans" w:cs="Open Sans"/>
          <w:color w:val="59595B"/>
        </w:rPr>
        <w:t xml:space="preserve"> Director (Ravi Jain, rjain@technijian.com)</w:t>
      </w:r>
      <w:r>
        <w:rPr>
          <w:rFonts w:ascii="Open Sans" w:hAnsi="Open Sans" w:cs="Open Sans"/>
          <w:color w:val="59595B"/>
        </w:rPr>
      </w:r>
    </w:p>
    <w:p>
      <w:pPr>
        <w:pStyle w:val="ListBullet"/>
        <w:spacing w:line="240" w:lineRule="auto"/>
        <w:ind w:left="720"/>
      </w:pPr>
      <w:r>
        <w:rPr>
          <w:rFonts w:ascii="Open Sans" w:hAnsi="Open Sans" w:cs="Open Sans"/>
          <w:color w:val="59595B"/>
        </w:rPr>
      </w:r>
      <w:r>
        <w:rPr>
          <w:rFonts w:ascii="Open Sans" w:hAnsi="Open Sans" w:cs="Open Sans"/>
          <w:b/>
          <w:color w:val="59595B"/>
        </w:rPr>
        <w:t>India HR Head:</w:t>
      </w:r>
      <w:r>
        <w:rPr>
          <w:rFonts w:ascii="Open Sans" w:hAnsi="Open Sans" w:cs="Open Sans"/>
          <w:color w:val="59595B"/>
        </w:rPr>
        <w:t xml:space="preserve"> Shelja Mehta (smehta@technijian.com)</w:t>
      </w:r>
      <w:r>
        <w:rPr>
          <w:rFonts w:ascii="Open Sans" w:hAnsi="Open Sans" w:cs="Open Sans"/>
          <w:color w:val="59595B"/>
        </w:rPr>
      </w:r>
    </w:p>
    <w:p>
      <w:pPr>
        <w:pStyle w:val="ListBullet"/>
        <w:spacing w:line="240" w:lineRule="auto"/>
        <w:ind w:left="720"/>
      </w:pPr>
      <w:r>
        <w:rPr>
          <w:rFonts w:ascii="Open Sans" w:hAnsi="Open Sans" w:cs="Open Sans"/>
          <w:color w:val="59595B"/>
        </w:rPr>
      </w:r>
      <w:r>
        <w:rPr>
          <w:rFonts w:ascii="Open Sans" w:hAnsi="Open Sans" w:cs="Open Sans"/>
          <w:b/>
          <w:color w:val="59595B"/>
        </w:rPr>
        <w:t>Review frequency:</w:t>
      </w:r>
      <w:r>
        <w:rPr>
          <w:rFonts w:ascii="Open Sans" w:hAnsi="Open Sans" w:cs="Open Sans"/>
          <w:color w:val="59595B"/>
        </w:rPr>
        <w:t xml:space="preserve"> Annually, or on any statutory change (including notification of Code on Wages / Code on Social Security)</w:t>
      </w:r>
      <w:r>
        <w:rPr>
          <w:rFonts w:ascii="Open Sans" w:hAnsi="Open Sans" w:cs="Open Sans"/>
          <w:color w:val="59595B"/>
        </w:rPr>
      </w:r>
    </w:p>
    <w:p>
      <w:pPr>
        <w:pStyle w:val="ListBullet"/>
        <w:spacing w:line="240" w:lineRule="auto"/>
        <w:ind w:left="720"/>
      </w:pPr>
      <w:r>
        <w:rPr>
          <w:rFonts w:ascii="Open Sans" w:hAnsi="Open Sans" w:cs="Open Sans"/>
          <w:color w:val="59595B"/>
        </w:rPr>
      </w:r>
      <w:r>
        <w:rPr>
          <w:rFonts w:ascii="Open Sans" w:hAnsi="Open Sans" w:cs="Open Sans"/>
          <w:b/>
          <w:color w:val="59595B"/>
        </w:rPr>
        <w:t>Effective date:</w:t>
      </w:r>
      <w:r>
        <w:rPr>
          <w:rFonts w:ascii="Open Sans" w:hAnsi="Open Sans" w:cs="Open Sans"/>
          <w:color w:val="59595B"/>
        </w:rPr>
        <w:t xml:space="preserve"> [Effective Date]</w:t>
      </w:r>
      <w:r>
        <w:rPr>
          <w:rFonts w:ascii="Open Sans" w:hAnsi="Open Sans" w:cs="Open Sans"/>
          <w:color w:val="59595B"/>
        </w:rPr>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Approved for and on behalf of </w:t>
      </w:r>
      <w:r>
        <w:rPr>
          <w:rFonts w:ascii="Open Sans" w:hAnsi="Open Sans" w:cs="Open Sans"/>
          <w:b/>
          <w:color w:val="59595B"/>
        </w:rPr>
        <w:t>Technijian IT Services Pvt. Ltd.</w:t>
      </w:r>
      <w:r>
        <w:rPr>
          <w:rFonts w:ascii="Open Sans" w:hAnsi="Open Sans" w:cs="Open Sans"/>
          <w:color w:val="59595B"/>
        </w:rPr>
        <w:t>:</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Name: </w:t>
      </w:r>
      <w:r>
        <w:rPr>
          <w:rFonts w:ascii="Open Sans" w:hAnsi="Open Sans" w:cs="Open Sans"/>
          <w:b/>
          <w:color w:val="59595B"/>
        </w:rPr>
        <w:t>Ravi Jain</w:t>
        <w:br/>
      </w:r>
      <w:r>
        <w:rPr>
          <w:rFonts w:ascii="Open Sans" w:hAnsi="Open Sans" w:cs="Open Sans"/>
          <w:color w:val="59595B"/>
        </w:rPr>
        <w:t>Designation: Director</w:t>
        <w:br/>
      </w:r>
      <w:r>
        <w:rPr>
          <w:rFonts w:ascii="Open Sans" w:hAnsi="Open Sans" w:cs="Open Sans"/>
          <w:color w:val="59595B"/>
        </w:rPr>
        <w:t xml:space="preserve">Signature: </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br/>
      </w:r>
      <w:r>
        <w:rPr>
          <w:rFonts w:ascii="Open Sans" w:hAnsi="Open Sans" w:cs="Open Sans"/>
          <w:b/>
          <w:i/>
          <w:color w:val="59595B"/>
        </w:rPr>
        <w:t xml:space="preserve">Date: </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p>
    <w:sectPr w:rsidR="00FC693F" w:rsidRPr="0006063C" w:rsidSect="00034616">
      <w:headerReference w:type="default" r:id="rId9"/>
      <w:footerReference w:type="default" r:id="rId10"/>
      <w:pgSz w:w="12240" w:h="15840"/>
      <w:pgMar w:top="1872" w:right="1224" w:bottom="1440" w:left="1224"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9360"/>
    </w:tblGrid>
    <w:tr>
      <w:tc>
        <w:tcPr>
          <w:tcW w:type="dxa" w:w="9360"/>
          <w:tcBorders>
            <w:top w:val="nil"/>
            <w:left w:val="nil"/>
            <w:bottom w:val="nil"/>
            <w:right w:val="nil"/>
          </w:tcBorders>
          <w:tcMar>
            <w:top w:w="10" w:type="dxa"/>
            <w:right w:w="0" w:type="dxa"/>
            <w:bottom w:w="10" w:type="dxa"/>
            <w:left w:w="0" w:type="dxa"/>
          </w:tcMar>
          <w:shd w:val="clear" w:color="auto" w:fill="006DB6"/>
        </w:tcPr>
        <w:p>
          <w:pPr>
            <w:spacing w:before="0" w:after="0"/>
          </w:pPr>
        </w:p>
      </w:tc>
    </w:tr>
  </w:tbl>
  <w:p>
    <w:pPr>
      <w:spacing w:before="80" w:after="0"/>
      <w:jc w:val="center"/>
    </w:pPr>
    <w:r>
      <w:rPr>
        <w:rFonts w:ascii="Open Sans" w:hAnsi="Open Sans" w:cs="Open Sans"/>
        <w:b w:val="0"/>
        <w:color w:val="59595B"/>
        <w:sz w:val="16"/>
      </w:rPr>
      <w:t>Technijian  |  Managed IT  •  Cybersecurity  •  Cloud  •  AI Development</w:t>
    </w:r>
  </w:p>
  <w:p>
    <w:pPr>
      <w:spacing w:before="0" w:after="0"/>
      <w:jc w:val="center"/>
    </w:pPr>
    <w:r>
      <w:rPr>
        <w:rFonts w:ascii="Open Sans" w:hAnsi="Open Sans" w:cs="Open Sans"/>
        <w:b w:val="0"/>
        <w:color w:val="E9ECEF"/>
        <w:sz w:val="14"/>
      </w:rPr>
      <w:t>Confidential — Internal HR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3168"/>
      <w:gridCol w:w="6192"/>
    </w:tblGrid>
    <w:tr>
      <w:tc>
        <w:tcPr>
          <w:tcW w:type="dxa" w:w="3168"/>
          <w:tcBorders>
            <w:top w:val="nil"/>
            <w:left w:val="nil"/>
            <w:bottom w:val="nil"/>
            <w:right w:val="nil"/>
          </w:tcBorders>
          <w:tcMar>
            <w:top w:w="0" w:type="dxa"/>
            <w:right w:w="0" w:type="dxa"/>
            <w:bottom w:w="0" w:type="dxa"/>
            <w:left w:w="0" w:type="dxa"/>
          </w:tcMar>
          <w:vAlign w:val="center"/>
        </w:tcPr>
        <w:p>
          <w:pPr>
            <w:jc w:val="left"/>
          </w:pPr>
          <w:r>
            <w:drawing>
              <wp:inline xmlns:a="http://schemas.openxmlformats.org/drawingml/2006/main" xmlns:pic="http://schemas.openxmlformats.org/drawingml/2006/picture">
                <wp:extent cx="1737360" cy="3619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737360" cy="361950"/>
                        </a:xfrm>
                        <a:prstGeom prst="rect"/>
                      </pic:spPr>
                    </pic:pic>
                  </a:graphicData>
                </a:graphic>
              </wp:inline>
            </w:drawing>
          </w:r>
        </w:p>
      </w:tc>
      <w:tc>
        <w:tcPr>
          <w:tcW w:type="dxa" w:w="6192"/>
          <w:tcBorders>
            <w:top w:val="nil"/>
            <w:left w:val="nil"/>
            <w:bottom w:val="nil"/>
            <w:right w:val="nil"/>
          </w:tcBorders>
          <w:tcMar>
            <w:top w:w="0" w:type="dxa"/>
            <w:right w:w="0" w:type="dxa"/>
            <w:bottom w:w="0" w:type="dxa"/>
            <w:left w:w="0" w:type="dxa"/>
          </w:tcMar>
          <w:vAlign w:val="center"/>
        </w:tcPr>
        <w:p>
          <w:pPr>
            <w:spacing w:before="0" w:after="0"/>
            <w:jc w:val="right"/>
          </w:pPr>
          <w:r>
            <w:rPr>
              <w:rFonts w:ascii="Open Sans" w:hAnsi="Open Sans" w:cs="Open Sans"/>
              <w:b/>
              <w:color w:val="1A1A2E"/>
              <w:sz w:val="18"/>
            </w:rPr>
            <w:t>Technijian IT Services Pvt. Ltd.</w:t>
          </w:r>
        </w:p>
        <w:p>
          <w:pPr>
            <w:spacing w:before="0" w:after="0"/>
            <w:jc w:val="right"/>
          </w:pPr>
          <w:r>
            <w:rPr>
              <w:rFonts w:ascii="Open Sans" w:hAnsi="Open Sans" w:cs="Open Sans"/>
              <w:b w:val="0"/>
              <w:color w:val="59595B"/>
              <w:sz w:val="16"/>
            </w:rPr>
            <w:t>Plot No. 07, 1st Floor, Panchkula IT Park, Panchkula, Haryana 134109</w:t>
          </w:r>
        </w:p>
        <w:p>
          <w:pPr>
            <w:spacing w:before="0" w:after="0"/>
            <w:jc w:val="right"/>
          </w:pPr>
          <w:r>
            <w:rPr>
              <w:rFonts w:ascii="Open Sans" w:hAnsi="Open Sans" w:cs="Open Sans"/>
              <w:b w:val="0"/>
              <w:color w:val="59595B"/>
              <w:sz w:val="16"/>
            </w:rPr>
            <w:t>hr-india@technijian.com</w:t>
          </w:r>
          <w:r>
            <w:rPr>
              <w:rFonts w:ascii="Open Sans" w:hAnsi="Open Sans" w:cs="Open Sans"/>
              <w:b w:val="0"/>
              <w:color w:val="E9ECEF"/>
              <w:sz w:val="16"/>
            </w:rPr>
            <w:t xml:space="preserve">   |   </w:t>
          </w:r>
          <w:r>
            <w:rPr>
              <w:rFonts w:ascii="Open Sans" w:hAnsi="Open Sans" w:cs="Open Sans"/>
              <w:b w:val="0"/>
              <w:color w:val="006DB6"/>
              <w:sz w:val="16"/>
            </w:rPr>
            <w:t>technijian.com</w:t>
          </w:r>
        </w:p>
      </w:tc>
    </w:tr>
  </w:tbl>
  <w:tbl>
    <w:tblPr>
      <w:tblW w:type="auto" w:w="0"/>
      <w:tblLook w:firstColumn="1" w:firstRow="1" w:lastColumn="0" w:lastRow="0" w:noHBand="0" w:noVBand="1" w:val="04A0"/>
    </w:tblPr>
    <w:tblGrid>
      <w:gridCol w:w="9360"/>
    </w:tblGrid>
    <w:tr>
      <w:tc>
        <w:tcPr>
          <w:tcW w:type="dxa" w:w="9360"/>
          <w:tcBorders>
            <w:top w:val="nil"/>
            <w:left w:val="nil"/>
            <w:bottom w:val="nil"/>
            <w:right w:val="nil"/>
          </w:tcBorders>
          <w:tcMar>
            <w:top w:w="20" w:type="dxa"/>
            <w:right w:w="0" w:type="dxa"/>
            <w:bottom w:w="20" w:type="dxa"/>
            <w:left w:w="0" w:type="dxa"/>
          </w:tcMar>
          <w:shd w:val="clear" w:color="auto" w:fill="F67D4B"/>
        </w:tcPr>
        <w:p>
          <w:pPr>
            <w:spacing w:before="0" w:after="0"/>
          </w:pPr>
        </w:p>
      </w:tc>
    </w:tr>
  </w:tbl>
  <w:p>
    <w:pPr>
      <w:spacing w:before="0"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s="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006DB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1A1A2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Open Sans" w:hAnsi="Open Sans"/>
      <w:b/>
      <w:bCs/>
      <w:color w:val="1A1A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Open Sans" w:hAnsi="Open Sans"/>
      <w:b/>
      <w:bCs/>
      <w:i/>
      <w:iCs/>
      <w:color w:val="1A1A2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