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1. Purpose &amp; Scope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This policy establishes the framework under which employees of Technijian IT Services Pvt. Ltd. ("the Company") may perform their duties from a location other than the Company office at [Panchkula, Haryana]. This policy applies to all employees in India. It is framed in consonance with: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Information Technology Act, 2000</w:t>
      </w:r>
      <w:r>
        <w:rPr>
          <w:rFonts w:ascii="Open Sans" w:hAnsi="Open Sans" w:cs="Open Sans"/>
          <w:color w:val="59595B"/>
        </w:rPr>
        <w:t xml:space="preserve"> — data protection, electronic records, reasonable security practices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Maternity Benefit (Amendment) Act, 2017, Sec. 5(5)</w:t>
      </w:r>
      <w:r>
        <w:rPr>
          <w:rFonts w:ascii="Open Sans" w:hAnsi="Open Sans" w:cs="Open Sans"/>
          <w:color w:val="59595B"/>
        </w:rPr>
        <w:t xml:space="preserve"> — work-from-home after maternity leave where role permits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Punjab Shops &amp; Commercial Establishments Act, 1958</w:t>
      </w:r>
      <w:r>
        <w:rPr>
          <w:rFonts w:ascii="Open Sans" w:hAnsi="Open Sans" w:cs="Open Sans"/>
          <w:color w:val="59595B"/>
        </w:rPr>
        <w:t xml:space="preserve"> (as extended to and in force in Haryana) — working-hour limits, weekly rest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2. WFH Modes</w:t>
      </w:r>
      <w:r>
        <w:rPr>
          <w:rFonts w:ascii="Open Sans" w:hAnsi="Open Sans" w:cs="Open Sans"/>
          <w:b/>
          <w:color w:val="1A1A2E"/>
          <w:sz w:val="2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Open Sans" w:hAnsi="Open Sans"/>
                <w:b/>
                <w:sz w:val="20"/>
              </w:rPr>
              <w:t>#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b/>
                <w:sz w:val="20"/>
              </w:rPr>
              <w:t>Mode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b/>
                <w:sz w:val="20"/>
              </w:rPr>
              <w:t>Description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b/>
                <w:sz w:val="20"/>
              </w:rPr>
              <w:t>Approval</w:t>
            </w:r>
          </w:p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2.01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Hybrid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Up to 2 WFH days per working week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Reporting manager</w:t>
            </w:r>
          </w:p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2.02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Full Remote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Employee works entirely from a designated remote location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HR + Business Head + Director</w:t>
            </w:r>
          </w:p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2.03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Occasional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Short-term WFH for medical, family, commute, or weather reasons (up to 10 working days per event)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Reporting manager; HR for &gt;5 consecutive days</w:t>
            </w:r>
          </w:p>
        </w:tc>
      </w:tr>
      <w:tr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2.04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Post-Maternity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Pursuant to Maternity Benefit Act Sec. 5(5), by mutual agreement after maternity leave, for as long as nature of work permits</w:t>
            </w:r>
          </w:p>
        </w:tc>
        <w:tc>
          <w:tcPr>
            <w:tcW w:type="dxa" w:w="2448"/>
          </w:tcPr>
          <w:p>
            <w:r>
              <w:rPr>
                <w:rFonts w:ascii="Open Sans" w:hAnsi="Open Sans"/>
                <w:sz w:val="20"/>
              </w:rPr>
              <w:t>HR + Reporting manager</w:t>
            </w:r>
          </w:p>
        </w:tc>
      </w:tr>
    </w:tbl>
    <w:p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3. Eligibility</w:t>
      </w:r>
      <w:r>
        <w:rPr>
          <w:rFonts w:ascii="Open Sans" w:hAnsi="Open Sans" w:cs="Open Sans"/>
          <w:b/>
          <w:color w:val="1A1A2E"/>
          <w:sz w:val="28"/>
        </w:rPr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Confirmed employees (post-probation) are eligible for Hybrid and Occasional WFH by default.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Employees on probation may be permitted Occasional WFH with reporting-manager approval.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Full Remote is granted exceptionally based on business justification and role suitability.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Eligibility may be withdrawn for performance, disciplinary, or security reasons on reasonable notice.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4. Working Hours &amp; Availability</w:t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4.01</w:t>
      </w:r>
      <w:r>
        <w:rPr>
          <w:rFonts w:ascii="Open Sans" w:hAnsi="Open Sans" w:cs="Open Sans"/>
          <w:b/>
          <w:color w:val="1A1A2E"/>
          <w:sz w:val="24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Employees on WFH shall observe the Company working hours applicable to their role / shift (typically Monday to Friday, 9 hours/day including 1 hour lunch), in compliance with the weekly working-hour limit under the Punjab Shops &amp; Commercial Establishments Act, 1958.</w:t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4.02</w:t>
      </w:r>
      <w:r>
        <w:rPr>
          <w:rFonts w:ascii="Open Sans" w:hAnsi="Open Sans" w:cs="Open Sans"/>
          <w:b/>
          <w:color w:val="1A1A2E"/>
          <w:sz w:val="24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Availability on Company messaging, email, and video-conferencing platforms during working hours is mandatory. Prolonged unavailability without prior intimation will be treated on par with unauthorized absence under the Leave Policy.</w:t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4.03</w:t>
      </w:r>
      <w:r>
        <w:rPr>
          <w:rFonts w:ascii="Open Sans" w:hAnsi="Open Sans" w:cs="Open Sans"/>
          <w:b/>
          <w:color w:val="1A1A2E"/>
          <w:sz w:val="24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Attendance shall be marked through the designated HR system / attendance tool on each WFH day. Missed punches shall be regularized via the </w:t>
      </w:r>
      <w:r>
        <w:rPr>
          <w:rFonts w:ascii="Open Sans" w:hAnsi="Open Sans" w:cs="Open Sans"/>
          <w:b/>
          <w:color w:val="59595B"/>
        </w:rPr>
        <w:t>Attendance Regularization Form</w:t>
      </w:r>
      <w:r>
        <w:rPr>
          <w:rFonts w:ascii="Open Sans" w:hAnsi="Open Sans" w:cs="Open Sans"/>
          <w:color w:val="59595B"/>
        </w:rPr>
        <w:t>.</w:t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5. Workspace &amp; Connectivity Requirements</w:t>
      </w:r>
      <w:r>
        <w:rPr>
          <w:rFonts w:ascii="Open Sans" w:hAnsi="Open Sans" w:cs="Open Sans"/>
          <w:b/>
          <w:color w:val="1A1A2E"/>
          <w:sz w:val="28"/>
        </w:rPr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Quiet, private workspace free from avoidable interruption; confidential calls must not be overheard by household members or visitors.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Reliable broadband internet with a minimum of 25 Mbps download speed.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Power backup sufficient to complete the working day.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Ergonomic arrangement for workstation, chair, and monitor as far as reasonably practicable.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6. Security &amp; Information Protection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WFH is subject to the Company's </w:t>
      </w:r>
      <w:r>
        <w:rPr>
          <w:rFonts w:ascii="Open Sans" w:hAnsi="Open Sans" w:cs="Open Sans"/>
          <w:b/>
          <w:color w:val="59595B"/>
        </w:rPr>
        <w:t>IT Acceptable Use Policy</w:t>
      </w:r>
      <w:r>
        <w:rPr>
          <w:rFonts w:ascii="Open Sans" w:hAnsi="Open Sans" w:cs="Open Sans"/>
          <w:color w:val="59595B"/>
        </w:rPr>
        <w:t xml:space="preserve">, </w:t>
      </w:r>
      <w:r>
        <w:rPr>
          <w:rFonts w:ascii="Open Sans" w:hAnsi="Open Sans" w:cs="Open Sans"/>
          <w:b/>
          <w:color w:val="59595B"/>
        </w:rPr>
        <w:t>Confidentiality / NDA</w:t>
      </w:r>
      <w:r>
        <w:rPr>
          <w:rFonts w:ascii="Open Sans" w:hAnsi="Open Sans" w:cs="Open Sans"/>
          <w:color w:val="59595B"/>
        </w:rPr>
        <w:t>, and this section. In particular:</w:t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6.01 Devices</w:t>
      </w:r>
      <w:r>
        <w:rPr>
          <w:rFonts w:ascii="Open Sans" w:hAnsi="Open Sans" w:cs="Open Sans"/>
          <w:b/>
          <w:color w:val="1A1A2E"/>
          <w:sz w:val="24"/>
        </w:rPr>
      </w:r>
      <w:r>
        <w:rPr>
          <w:rFonts w:ascii="Open Sans" w:hAnsi="Open Sans" w:cs="Open Sans"/>
          <w:b/>
          <w:color w:val="1A1A2E"/>
          <w:sz w:val="24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Employees shall use only the Company-issued laptop / device for performance of their duties. Use of personal devices is prohibited unless expressly authorized in writing.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Hard-disk encryption, anti-virus / EDR agent, and patch-management agent must remain enabled at all times.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6.02 Network</w:t>
      </w:r>
      <w:r>
        <w:rPr>
          <w:rFonts w:ascii="Open Sans" w:hAnsi="Open Sans" w:cs="Open Sans"/>
          <w:b/>
          <w:color w:val="1A1A2E"/>
          <w:sz w:val="24"/>
        </w:rPr>
      </w:r>
      <w:r>
        <w:rPr>
          <w:rFonts w:ascii="Open Sans" w:hAnsi="Open Sans" w:cs="Open Sans"/>
          <w:b/>
          <w:color w:val="1A1A2E"/>
          <w:sz w:val="24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Connection to Company or client systems must be made only through the Company-approved VPN / zero-trust client.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Public Wi-Fi (airports, cafes, hotels) shall not be used without active VPN and MFA.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Home Wi-Fi must be WPA2/WPA3 secured with a strong password; default router credentials must be changed.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6.03 Authentication</w:t>
      </w:r>
      <w:r>
        <w:rPr>
          <w:rFonts w:ascii="Open Sans" w:hAnsi="Open Sans" w:cs="Open Sans"/>
          <w:b/>
          <w:color w:val="1A1A2E"/>
          <w:sz w:val="24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Multi-factor authentication (MFA) is mandatory for all Company and client systems. Sharing of credentials is prohibited.</w:t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6.04 Screen &amp; Printed Data</w:t>
      </w:r>
      <w:r>
        <w:rPr>
          <w:rFonts w:ascii="Open Sans" w:hAnsi="Open Sans" w:cs="Open Sans"/>
          <w:b/>
          <w:color w:val="1A1A2E"/>
          <w:sz w:val="24"/>
        </w:rPr>
      </w:r>
      <w:r>
        <w:rPr>
          <w:rFonts w:ascii="Open Sans" w:hAnsi="Open Sans" w:cs="Open Sans"/>
          <w:b/>
          <w:color w:val="1A1A2E"/>
          <w:sz w:val="24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Screens must be positioned to prevent viewing by household members or visitors, particularly for client work subject to confidentiality obligations.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Printing of client or Company data is prohibited except where expressly required; printed material must be shredded upon use.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6.05 Physical Security</w:t>
      </w:r>
      <w:r>
        <w:rPr>
          <w:rFonts w:ascii="Open Sans" w:hAnsi="Open Sans" w:cs="Open Sans"/>
          <w:b/>
          <w:color w:val="1A1A2E"/>
          <w:sz w:val="24"/>
        </w:rPr>
      </w:r>
      <w:r>
        <w:rPr>
          <w:rFonts w:ascii="Open Sans" w:hAnsi="Open Sans" w:cs="Open Sans"/>
          <w:b/>
          <w:color w:val="1A1A2E"/>
          <w:sz w:val="24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The laptop, peripherals, and any physical data shall be kept in a secure location when not in use.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Loss, theft, or suspected compromise of a Company device or credentials must be reported to IT and HR within 24 hours.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Heading3"/>
      </w:pPr>
      <w:r>
        <w:rPr>
          <w:rFonts w:ascii="Open Sans" w:hAnsi="Open Sans" w:cs="Open Sans"/>
          <w:b/>
          <w:color w:val="1A1A2E"/>
          <w:sz w:val="24"/>
        </w:rPr>
        <w:t>6.06 Incident Reporting</w:t>
      </w:r>
      <w:r>
        <w:rPr>
          <w:rFonts w:ascii="Open Sans" w:hAnsi="Open Sans" w:cs="Open Sans"/>
          <w:b/>
          <w:color w:val="1A1A2E"/>
          <w:sz w:val="24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Any suspected data breach, phishing incident, or security event must be reported immediately per the IT Acceptable Use Policy and the Information-Security Incident Response plan.</w:t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7. Performance &amp; Deliverables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WFH is a mode of work, not a relaxation of deliverables. Expected output, response times, and quality standards remain identical to office-based work. Deterioration in performance traceable to WFH will be grounds for revoking the WFH arrangement.</w:t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8. Client &amp; Regulatory Constraints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Certain client engagements, data-classification levels, or regulated workloads (e.g., PII / PHI / PCI data) may require on-premises work. Where a client contract or an applicable law / regulation prohibits WFH for particular work, the on-site requirement supersedes this policy for that scope.</w:t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9. Non-Compliance</w:t>
      </w:r>
      <w:r>
        <w:rPr>
          <w:rFonts w:ascii="Open Sans" w:hAnsi="Open Sans" w:cs="Open Sans"/>
          <w:b/>
          <w:color w:val="1A1A2E"/>
          <w:sz w:val="2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Open Sans" w:hAnsi="Open Sans"/>
                <w:b/>
                <w:sz w:val="20"/>
              </w:rPr>
              <w:t>#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b/>
                <w:sz w:val="20"/>
              </w:rPr>
              <w:t>Conduct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b/>
                <w:sz w:val="20"/>
              </w:rPr>
              <w:t>Consequence</w:t>
            </w:r>
          </w:p>
        </w:tc>
      </w:tr>
      <w:tr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9.01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First instance of missed deliverables, availability lapse, or procedural breach during WFH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Verbal warning by reporting manager; written caution</w:t>
            </w:r>
          </w:p>
        </w:tc>
      </w:tr>
      <w:tr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9.02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Repeated lapses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Revocation of WFH privileges; return to full on-site work</w:t>
            </w:r>
          </w:p>
        </w:tc>
      </w:tr>
      <w:tr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9.03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Security violation (credential sharing, VPN bypass, unauthorized device, data leakage)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Immediate revocation + Show Cause Notice + Disciplinary proceedings under the Standing Orders / Disciplinary policy</w:t>
            </w:r>
          </w:p>
        </w:tc>
      </w:tr>
      <w:tr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9.04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Data breach attributable to gross negligence or wilful misconduct</w:t>
            </w:r>
          </w:p>
        </w:tc>
        <w:tc>
          <w:tcPr>
            <w:tcW w:type="dxa" w:w="3264"/>
          </w:tcPr>
          <w:p>
            <w:r>
              <w:rPr>
                <w:rFonts w:ascii="Open Sans" w:hAnsi="Open Sans"/>
                <w:sz w:val="20"/>
              </w:rPr>
              <w:t>Termination for cause + recovery of damages as permitted by law</w:t>
            </w:r>
          </w:p>
        </w:tc>
      </w:tr>
    </w:tbl>
    <w:p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10. Policy Administration</w:t>
      </w:r>
      <w:r>
        <w:rPr>
          <w:rFonts w:ascii="Open Sans" w:hAnsi="Open Sans" w:cs="Open Sans"/>
          <w:b/>
          <w:color w:val="1A1A2E"/>
          <w:sz w:val="28"/>
        </w:rPr>
      </w:r>
      <w:r>
        <w:rPr>
          <w:rFonts w:ascii="Open Sans" w:hAnsi="Open Sans" w:cs="Open Sans"/>
          <w:b/>
          <w:color w:val="1A1A2E"/>
          <w:sz w:val="28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Owner:</w:t>
      </w:r>
      <w:r>
        <w:rPr>
          <w:rFonts w:ascii="Open Sans" w:hAnsi="Open Sans" w:cs="Open Sans"/>
          <w:color w:val="59595B"/>
        </w:rPr>
        <w:t xml:space="preserve"> HR India (hr-india@technijian.com), in consultation with IT / Security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Approver:</w:t>
      </w:r>
      <w:r>
        <w:rPr>
          <w:rFonts w:ascii="Open Sans" w:hAnsi="Open Sans" w:cs="Open Sans"/>
          <w:color w:val="59595B"/>
        </w:rPr>
        <w:t xml:space="preserve"> Director (Ravi Jain, rjain@technijian.com)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India HR Head:</w:t>
      </w:r>
      <w:r>
        <w:rPr>
          <w:rFonts w:ascii="Open Sans" w:hAnsi="Open Sans" w:cs="Open Sans"/>
          <w:color w:val="59595B"/>
        </w:rPr>
        <w:t xml:space="preserve"> Shelja Mehta (smehta@technijian.com)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Review frequency:</w:t>
      </w:r>
      <w:r>
        <w:rPr>
          <w:rFonts w:ascii="Open Sans" w:hAnsi="Open Sans" w:cs="Open Sans"/>
          <w:color w:val="59595B"/>
        </w:rPr>
        <w:t xml:space="preserve"> Annually, or on change in the IT Act, Maternity Benefit Act provisions, or client security requirements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Effective date:</w:t>
      </w:r>
      <w:r>
        <w:rPr>
          <w:rFonts w:ascii="Open Sans" w:hAnsi="Open Sans" w:cs="Open Sans"/>
          <w:color w:val="59595B"/>
        </w:rPr>
        <w:t xml:space="preserve"> [Effective Date]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Approved for and on behalf of </w:t>
      </w:r>
      <w:r>
        <w:rPr>
          <w:rFonts w:ascii="Open Sans" w:hAnsi="Open Sans" w:cs="Open Sans"/>
          <w:b/>
          <w:color w:val="59595B"/>
        </w:rPr>
        <w:t>Technijian IT Services Pvt. Ltd.</w:t>
      </w:r>
      <w:r>
        <w:rPr>
          <w:rFonts w:ascii="Open Sans" w:hAnsi="Open Sans" w:cs="Open Sans"/>
          <w:color w:val="59595B"/>
        </w:rPr>
        <w:t>:</w:t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Name: </w:t>
      </w:r>
      <w:r>
        <w:rPr>
          <w:rFonts w:ascii="Open Sans" w:hAnsi="Open Sans" w:cs="Open Sans"/>
          <w:b/>
          <w:color w:val="59595B"/>
        </w:rPr>
        <w:t>Ravi Jain</w:t>
        <w:br/>
      </w:r>
      <w:r>
        <w:rPr>
          <w:rFonts w:ascii="Open Sans" w:hAnsi="Open Sans" w:cs="Open Sans"/>
          <w:color w:val="59595B"/>
        </w:rPr>
        <w:t>Designation: Director</w:t>
        <w:br/>
      </w:r>
      <w:r>
        <w:rPr>
          <w:rFonts w:ascii="Open Sans" w:hAnsi="Open Sans" w:cs="Open Sans"/>
          <w:color w:val="59595B"/>
        </w:rPr>
        <w:t xml:space="preserve">Signature: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  <w:br/>
      </w:r>
      <w:r>
        <w:rPr>
          <w:rFonts w:ascii="Open Sans" w:hAnsi="Open Sans" w:cs="Open Sans"/>
          <w:b/>
          <w:i/>
          <w:color w:val="59595B"/>
        </w:rPr>
        <w:t xml:space="preserve">Date: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872" w:right="1224" w:bottom="1440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10" w:type="dxa"/>
            <w:right w:w="0" w:type="dxa"/>
            <w:bottom w:w="10" w:type="dxa"/>
            <w:left w:w="0" w:type="dxa"/>
          </w:tcMar>
          <w:shd w:val="clear" w:color="auto" w:fill="006DB6"/>
        </w:tcPr>
        <w:p>
          <w:pPr>
            <w:spacing w:before="0" w:after="0"/>
          </w:pPr>
        </w:p>
      </w:tc>
    </w:tr>
  </w:tbl>
  <w:p>
    <w:pPr>
      <w:spacing w:before="80" w:after="0"/>
      <w:jc w:val="center"/>
    </w:pPr>
    <w:r>
      <w:rPr>
        <w:rFonts w:ascii="Open Sans" w:hAnsi="Open Sans" w:cs="Open Sans"/>
        <w:b w:val="0"/>
        <w:color w:val="59595B"/>
        <w:sz w:val="16"/>
      </w:rPr>
      <w:t>Technijian  |  Managed IT  •  Cybersecurity  •  Cloud  •  AI Development</w:t>
    </w:r>
  </w:p>
  <w:p>
    <w:pPr>
      <w:spacing w:before="0" w:after="0"/>
      <w:jc w:val="center"/>
    </w:pPr>
    <w:r>
      <w:rPr>
        <w:rFonts w:ascii="Open Sans" w:hAnsi="Open Sans" w:cs="Open Sans"/>
        <w:b w:val="0"/>
        <w:color w:val="E9ECEF"/>
        <w:sz w:val="14"/>
      </w:rPr>
      <w:t>Confidential — Internal HR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168"/>
      <w:gridCol w:w="6192"/>
    </w:tblGrid>
    <w:tr>
      <w:tc>
        <w:tcPr>
          <w:tcW w:type="dxa" w:w="3168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737360" cy="36195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chnijian-logo-full-color-600x125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7360" cy="3619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92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Open Sans" w:hAnsi="Open Sans" w:cs="Open Sans"/>
              <w:b/>
              <w:color w:val="1A1A2E"/>
              <w:sz w:val="18"/>
            </w:rPr>
            <w:t>Technijian IT Services Pvt. Ltd.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Plot No. 07, 1st Floor, Panchkula IT Park, Panchkula, Haryana 134109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hr-india@technijian.com</w:t>
          </w:r>
          <w:r>
            <w:rPr>
              <w:rFonts w:ascii="Open Sans" w:hAnsi="Open Sans" w:cs="Open Sans"/>
              <w:b w:val="0"/>
              <w:color w:val="E9ECEF"/>
              <w:sz w:val="16"/>
            </w:rPr>
            <w:t xml:space="preserve">   |   </w:t>
          </w:r>
          <w:r>
            <w:rPr>
              <w:rFonts w:ascii="Open Sans" w:hAnsi="Open Sans" w:cs="Open Sans"/>
              <w:b w:val="0"/>
              <w:color w:val="006DB6"/>
              <w:sz w:val="16"/>
            </w:rPr>
            <w:t>technijian.com</w:t>
          </w: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20" w:type="dxa"/>
            <w:right w:w="0" w:type="dxa"/>
            <w:bottom w:w="20" w:type="dxa"/>
            <w:left w:w="0" w:type="dxa"/>
          </w:tcMar>
          <w:shd w:val="clear" w:color="auto" w:fill="F67D4B"/>
        </w:tcPr>
        <w:p>
          <w:pPr>
            <w:spacing w:before="0" w:after="0"/>
          </w:pPr>
        </w:p>
      </w:tc>
    </w:tr>
  </w:tbl>
  <w:p>
    <w:pPr>
      <w:spacing w:before="0"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 w:cs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006D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Open Sans" w:hAnsi="Open Sans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