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Open Sans" w:hAnsi="Open Sans" w:cs="Open Sans"/>
          <w:color w:val="59595B"/>
        </w:rPr>
      </w:r>
      <w:r>
        <w:rPr>
          <w:rFonts w:ascii="Open Sans" w:hAnsi="Open Sans" w:cs="Open Sans"/>
          <w:b/>
          <w:color w:val="59595B"/>
        </w:rPr>
        <w:t>Ref:</w:t>
      </w:r>
      <w:r>
        <w:rPr>
          <w:rFonts w:ascii="Open Sans" w:hAnsi="Open Sans" w:cs="Open Sans"/>
          <w:color w:val="59595B"/>
        </w:rPr>
        <w:t xml:space="preserve"> SEP/FNF/&lt;YYYY&gt;/&lt;NN&gt;</w:t>
        <w:br/>
      </w:r>
      <w:r>
        <w:rPr>
          <w:rFonts w:ascii="Open Sans" w:hAnsi="Open Sans" w:cs="Open Sans"/>
          <w:color w:val="59595B"/>
        </w:rPr>
      </w:r>
      <w:r>
        <w:rPr>
          <w:rFonts w:ascii="Open Sans" w:hAnsi="Open Sans" w:cs="Open Sans"/>
          <w:b/>
          <w:color w:val="59595B"/>
        </w:rPr>
        <w:t>Statement Date:</w:t>
      </w:r>
      <w:r>
        <w:rPr>
          <w:rFonts w:ascii="Open Sans" w:hAnsi="Open Sans" w:cs="Open Sans"/>
          <w:color w:val="59595B"/>
        </w:rPr>
        <w:t xml:space="preserve"> &lt;DD Month YYYY&gt;</w:t>
        <w:br/>
      </w:r>
      <w:r>
        <w:rPr>
          <w:rFonts w:ascii="Open Sans" w:hAnsi="Open Sans" w:cs="Open Sans"/>
          <w:color w:val="59595B"/>
        </w:rPr>
      </w:r>
      <w:r>
        <w:rPr>
          <w:rFonts w:ascii="Open Sans" w:hAnsi="Open Sans" w:cs="Open Sans"/>
          <w:b/>
          <w:color w:val="59595B"/>
        </w:rPr>
        <w:t>F&amp;F Processing Deadline:</w:t>
      </w:r>
      <w:r>
        <w:rPr>
          <w:rFonts w:ascii="Open Sans" w:hAnsi="Open Sans" w:cs="Open Sans"/>
          <w:color w:val="59595B"/>
        </w:rPr>
        <w:t xml:space="preserve"> Within forty-five (45) days of Last Working Day, per Section 5 of the Payment of Wages Act, 1936.</w:t>
      </w:r>
      <w:r>
        <w:rPr>
          <w:rFonts w:ascii="Open Sans" w:hAnsi="Open Sans" w:cs="Open Sans"/>
          <w:color w:val="59595B"/>
        </w:rPr>
      </w:r>
    </w:p>
    <w:p>
      <w:pPr>
        <w:pStyle w:val="Heading2"/>
      </w:pPr>
      <w:r>
        <w:rPr>
          <w:rFonts w:ascii="Open Sans" w:hAnsi="Open Sans" w:cs="Open Sans"/>
          <w:b/>
          <w:color w:val="1A1A2E"/>
          <w:sz w:val="28"/>
        </w:rPr>
        <w:t>Employee Details</w:t>
      </w:r>
      <w:r>
        <w:rPr>
          <w:rFonts w:ascii="Open Sans" w:hAnsi="Open Sans" w:cs="Open Sans"/>
          <w:b/>
          <w:color w:val="1A1A2E"/>
          <w:sz w:val="28"/>
        </w:rPr>
      </w:r>
    </w:p>
    <w:tbl>
      <w:tblPr>
        <w:tblStyle w:val="LightGrid-Accent1"/>
        <w:tblW w:type="auto" w:w="0"/>
        <w:tblLook w:firstColumn="1" w:firstRow="1" w:lastColumn="0" w:lastRow="0" w:noHBand="0" w:noVBand="1" w:val="04A0"/>
      </w:tblPr>
      <w:tblGrid>
        <w:gridCol w:w="4896"/>
        <w:gridCol w:w="4896"/>
      </w:tblGrid>
      <w:tr>
        <w:tc>
          <w:tcPr>
            <w:tcW w:type="dxa" w:w="4896"/>
          </w:tcPr>
          <w:p>
            <w:r>
              <w:rPr>
                <w:rFonts w:ascii="Open Sans" w:hAnsi="Open Sans"/>
                <w:b/>
                <w:sz w:val="20"/>
              </w:rPr>
              <w:t>Field</w:t>
            </w:r>
          </w:p>
        </w:tc>
        <w:tc>
          <w:tcPr>
            <w:tcW w:type="dxa" w:w="4896"/>
          </w:tcPr>
          <w:p>
            <w:r>
              <w:rPr>
                <w:rFonts w:ascii="Open Sans" w:hAnsi="Open Sans"/>
                <w:b/>
                <w:sz w:val="20"/>
              </w:rPr>
              <w:t>Value</w:t>
            </w:r>
          </w:p>
        </w:tc>
      </w:tr>
      <w:tr>
        <w:tc>
          <w:tcPr>
            <w:tcW w:type="dxa" w:w="4896"/>
          </w:tcPr>
          <w:p>
            <w:r>
              <w:rPr>
                <w:rFonts w:ascii="Open Sans" w:hAnsi="Open Sans"/>
                <w:sz w:val="20"/>
              </w:rPr>
              <w:t>Employee Name</w:t>
            </w:r>
          </w:p>
        </w:tc>
        <w:tc>
          <w:tcPr>
            <w:tcW w:type="dxa" w:w="4896"/>
          </w:tcPr>
          <w:p/>
        </w:tc>
      </w:tr>
      <w:tr>
        <w:tc>
          <w:tcPr>
            <w:tcW w:type="dxa" w:w="4896"/>
          </w:tcPr>
          <w:p>
            <w:r>
              <w:rPr>
                <w:rFonts w:ascii="Open Sans" w:hAnsi="Open Sans"/>
                <w:sz w:val="20"/>
              </w:rPr>
              <w:t>Employee ID</w:t>
            </w:r>
          </w:p>
        </w:tc>
        <w:tc>
          <w:tcPr>
            <w:tcW w:type="dxa" w:w="4896"/>
          </w:tcPr>
          <w:p/>
        </w:tc>
      </w:tr>
      <w:tr>
        <w:tc>
          <w:tcPr>
            <w:tcW w:type="dxa" w:w="4896"/>
          </w:tcPr>
          <w:p>
            <w:r>
              <w:rPr>
                <w:rFonts w:ascii="Open Sans" w:hAnsi="Open Sans"/>
                <w:sz w:val="20"/>
              </w:rPr>
              <w:t>PAN</w:t>
            </w:r>
          </w:p>
        </w:tc>
        <w:tc>
          <w:tcPr>
            <w:tcW w:type="dxa" w:w="4896"/>
          </w:tcPr>
          <w:p/>
        </w:tc>
      </w:tr>
      <w:tr>
        <w:tc>
          <w:tcPr>
            <w:tcW w:type="dxa" w:w="4896"/>
          </w:tcPr>
          <w:p>
            <w:r>
              <w:rPr>
                <w:rFonts w:ascii="Open Sans" w:hAnsi="Open Sans"/>
                <w:sz w:val="20"/>
              </w:rPr>
              <w:t>UAN (PF)</w:t>
            </w:r>
          </w:p>
        </w:tc>
        <w:tc>
          <w:tcPr>
            <w:tcW w:type="dxa" w:w="4896"/>
          </w:tcPr>
          <w:p>
            <w:r>
              <w:rPr>
                <w:rFonts w:ascii="Open Sans" w:hAnsi="Open Sans"/>
                <w:sz w:val="20"/>
              </w:rPr>
              <w:t>&lt;12-digit UAN&gt;</w:t>
            </w:r>
          </w:p>
        </w:tc>
      </w:tr>
      <w:tr>
        <w:tc>
          <w:tcPr>
            <w:tcW w:type="dxa" w:w="4896"/>
          </w:tcPr>
          <w:p>
            <w:r>
              <w:rPr>
                <w:rFonts w:ascii="Open Sans" w:hAnsi="Open Sans"/>
                <w:sz w:val="20"/>
              </w:rPr>
              <w:t>Date of Joining</w:t>
            </w:r>
          </w:p>
        </w:tc>
        <w:tc>
          <w:tcPr>
            <w:tcW w:type="dxa" w:w="4896"/>
          </w:tcPr>
          <w:p/>
        </w:tc>
      </w:tr>
      <w:tr>
        <w:tc>
          <w:tcPr>
            <w:tcW w:type="dxa" w:w="4896"/>
          </w:tcPr>
          <w:p>
            <w:r>
              <w:rPr>
                <w:rFonts w:ascii="Open Sans" w:hAnsi="Open Sans"/>
                <w:sz w:val="20"/>
              </w:rPr>
              <w:t>Last Working Day (LWD)</w:t>
            </w:r>
          </w:p>
        </w:tc>
        <w:tc>
          <w:tcPr>
            <w:tcW w:type="dxa" w:w="4896"/>
          </w:tcPr>
          <w:p/>
        </w:tc>
      </w:tr>
      <w:tr>
        <w:tc>
          <w:tcPr>
            <w:tcW w:type="dxa" w:w="4896"/>
          </w:tcPr>
          <w:p>
            <w:r>
              <w:rPr>
                <w:rFonts w:ascii="Open Sans" w:hAnsi="Open Sans"/>
                <w:sz w:val="20"/>
              </w:rPr>
              <w:t>Years of Continuous Service</w:t>
            </w:r>
          </w:p>
        </w:tc>
        <w:tc>
          <w:tcPr>
            <w:tcW w:type="dxa" w:w="4896"/>
          </w:tcPr>
          <w:p/>
        </w:tc>
      </w:tr>
      <w:tr>
        <w:tc>
          <w:tcPr>
            <w:tcW w:type="dxa" w:w="4896"/>
          </w:tcPr>
          <w:p>
            <w:r>
              <w:rPr>
                <w:rFonts w:ascii="Open Sans" w:hAnsi="Open Sans"/>
                <w:sz w:val="20"/>
              </w:rPr>
              <w:t>Last Drawn Basic (INR/month)</w:t>
            </w:r>
          </w:p>
        </w:tc>
        <w:tc>
          <w:tcPr>
            <w:tcW w:type="dxa" w:w="4896"/>
          </w:tcPr>
          <w:p/>
        </w:tc>
      </w:tr>
      <w:tr>
        <w:tc>
          <w:tcPr>
            <w:tcW w:type="dxa" w:w="4896"/>
          </w:tcPr>
          <w:p>
            <w:r>
              <w:rPr>
                <w:rFonts w:ascii="Open Sans" w:hAnsi="Open Sans"/>
                <w:sz w:val="20"/>
              </w:rPr>
              <w:t>Last Drawn Gross (INR/month)</w:t>
            </w:r>
          </w:p>
        </w:tc>
        <w:tc>
          <w:tcPr>
            <w:tcW w:type="dxa" w:w="4896"/>
          </w:tcPr>
          <w:p/>
        </w:tc>
      </w:tr>
      <w:tr>
        <w:tc>
          <w:tcPr>
            <w:tcW w:type="dxa" w:w="4896"/>
          </w:tcPr>
          <w:p>
            <w:r>
              <w:rPr>
                <w:rFonts w:ascii="Open Sans" w:hAnsi="Open Sans"/>
                <w:sz w:val="20"/>
              </w:rPr>
              <w:t>Reason for Separation</w:t>
            </w:r>
          </w:p>
        </w:tc>
        <w:tc>
          <w:tcPr>
            <w:tcW w:type="dxa" w:w="4896"/>
          </w:tcPr>
          <w:p/>
        </w:tc>
      </w:tr>
    </w:tbl>
    <w:p>
      <w:r>
        <w:rPr>
          <w:rFonts w:ascii="Open Sans" w:hAnsi="Open Sans" w:cs="Open Sans"/>
          <w:color w:val="59595B"/>
        </w:rPr>
      </w:r>
    </w:p>
    <w:p>
      <w:pPr>
        <w:pStyle w:val="Heading2"/>
      </w:pPr>
      <w:r>
        <w:rPr>
          <w:rFonts w:ascii="Open Sans" w:hAnsi="Open Sans" w:cs="Open Sans"/>
          <w:b/>
          <w:color w:val="1A1A2E"/>
          <w:sz w:val="28"/>
        </w:rPr>
        <w:t>1. Earnings (INR)</w:t>
      </w:r>
      <w:r>
        <w:rPr>
          <w:rFonts w:ascii="Open Sans" w:hAnsi="Open Sans" w:cs="Open Sans"/>
          <w:b/>
          <w:color w:val="1A1A2E"/>
          <w:sz w:val="28"/>
        </w:rPr>
      </w:r>
    </w:p>
    <w:tbl>
      <w:tblPr>
        <w:tblStyle w:val="LightGrid-Accent1"/>
        <w:tblW w:type="auto" w:w="0"/>
        <w:tblLook w:firstColumn="1" w:firstRow="1" w:lastColumn="0" w:lastRow="0" w:noHBand="0" w:noVBand="1" w:val="04A0"/>
      </w:tblPr>
      <w:tblGrid>
        <w:gridCol w:w="2448"/>
        <w:gridCol w:w="2448"/>
        <w:gridCol w:w="2448"/>
        <w:gridCol w:w="2448"/>
      </w:tblGrid>
      <w:tr>
        <w:tc>
          <w:tcPr>
            <w:tcW w:type="dxa" w:w="2448"/>
          </w:tcPr>
          <w:p>
            <w:r>
              <w:rPr>
                <w:rFonts w:ascii="Open Sans" w:hAnsi="Open Sans"/>
                <w:b/>
                <w:sz w:val="20"/>
              </w:rPr>
              <w:t>#</w:t>
            </w:r>
          </w:p>
        </w:tc>
        <w:tc>
          <w:tcPr>
            <w:tcW w:type="dxa" w:w="2448"/>
          </w:tcPr>
          <w:p>
            <w:r>
              <w:rPr>
                <w:rFonts w:ascii="Open Sans" w:hAnsi="Open Sans"/>
                <w:b/>
                <w:sz w:val="20"/>
              </w:rPr>
              <w:t>Item</w:t>
            </w:r>
          </w:p>
        </w:tc>
        <w:tc>
          <w:tcPr>
            <w:tcW w:type="dxa" w:w="2448"/>
          </w:tcPr>
          <w:p>
            <w:r>
              <w:rPr>
                <w:rFonts w:ascii="Open Sans" w:hAnsi="Open Sans"/>
                <w:b/>
                <w:sz w:val="20"/>
              </w:rPr>
              <w:t>Computation</w:t>
            </w:r>
          </w:p>
        </w:tc>
        <w:tc>
          <w:tcPr>
            <w:tcW w:type="dxa" w:w="2448"/>
          </w:tcPr>
          <w:p>
            <w:r>
              <w:rPr>
                <w:rFonts w:ascii="Open Sans" w:hAnsi="Open Sans"/>
                <w:b/>
                <w:sz w:val="20"/>
              </w:rPr>
              <w:t>Amount (INR)</w:t>
            </w:r>
          </w:p>
        </w:tc>
      </w:tr>
      <w:tr>
        <w:tc>
          <w:tcPr>
            <w:tcW w:type="dxa" w:w="2448"/>
          </w:tcPr>
          <w:p>
            <w:r>
              <w:rPr>
                <w:rFonts w:ascii="Open Sans" w:hAnsi="Open Sans"/>
                <w:sz w:val="20"/>
              </w:rPr>
              <w:t>1.1</w:t>
            </w:r>
          </w:p>
        </w:tc>
        <w:tc>
          <w:tcPr>
            <w:tcW w:type="dxa" w:w="2448"/>
          </w:tcPr>
          <w:p>
            <w:r>
              <w:rPr>
                <w:rFonts w:ascii="Open Sans" w:hAnsi="Open Sans"/>
                <w:sz w:val="20"/>
              </w:rPr>
              <w:t>Unpaid salary (</w:t>
            </w:r>
            <w:r>
              <w:rPr>
                <w:rFonts w:ascii="Open Sans" w:hAnsi="Open Sans"/>
                <w:sz w:val="20"/>
              </w:rPr>
              <w:t xml:space="preserve"> to </w:t>
            </w:r>
            <w:r>
              <w:rPr>
                <w:rFonts w:ascii="Open Sans" w:hAnsi="Open Sans"/>
                <w:sz w:val="20"/>
              </w:rPr>
              <w:t>)</w:t>
            </w:r>
          </w:p>
        </w:tc>
        <w:tc>
          <w:tcPr>
            <w:tcW w:type="dxa" w:w="2448"/>
          </w:tcPr>
          <w:p>
            <w:r>
              <w:rPr>
                <w:rFonts w:ascii="Open Sans" w:hAnsi="Open Sans"/>
                <w:sz w:val="20"/>
              </w:rPr>
              <w:t>Pro-rata gross x days worked</w:t>
            </w:r>
          </w:p>
        </w:tc>
        <w:tc>
          <w:tcPr>
            <w:tcW w:type="dxa" w:w="2448"/>
          </w:tcPr>
          <w:p/>
        </w:tc>
      </w:tr>
      <w:tr>
        <w:tc>
          <w:tcPr>
            <w:tcW w:type="dxa" w:w="2448"/>
          </w:tcPr>
          <w:p>
            <w:r>
              <w:rPr>
                <w:rFonts w:ascii="Open Sans" w:hAnsi="Open Sans"/>
                <w:sz w:val="20"/>
              </w:rPr>
              <w:t>1.2</w:t>
            </w:r>
          </w:p>
        </w:tc>
        <w:tc>
          <w:tcPr>
            <w:tcW w:type="dxa" w:w="2448"/>
          </w:tcPr>
          <w:p>
            <w:r>
              <w:rPr>
                <w:rFonts w:ascii="Open Sans" w:hAnsi="Open Sans"/>
                <w:sz w:val="20"/>
              </w:rPr>
              <w:t>Earned Leave (EL) encashment</w:t>
            </w:r>
          </w:p>
        </w:tc>
        <w:tc>
          <w:tcPr>
            <w:tcW w:type="dxa" w:w="2448"/>
          </w:tcPr>
          <w:p>
            <w:r>
              <w:rPr>
                <w:rFonts w:ascii="Open Sans" w:hAnsi="Open Sans"/>
                <w:sz w:val="20"/>
              </w:rPr>
              <w:t xml:space="preserve"> x (Basic / 26) — per Punjab S&amp;E Act, 1958 (Haryana)</w:t>
            </w:r>
          </w:p>
        </w:tc>
        <w:tc>
          <w:tcPr>
            <w:tcW w:type="dxa" w:w="2448"/>
          </w:tcPr>
          <w:p/>
        </w:tc>
      </w:tr>
      <w:tr>
        <w:tc>
          <w:tcPr>
            <w:tcW w:type="dxa" w:w="2448"/>
          </w:tcPr>
          <w:p>
            <w:r>
              <w:rPr>
                <w:rFonts w:ascii="Open Sans" w:hAnsi="Open Sans"/>
                <w:sz w:val="20"/>
              </w:rPr>
              <w:t>1.3</w:t>
            </w:r>
          </w:p>
        </w:tc>
        <w:tc>
          <w:tcPr>
            <w:tcW w:type="dxa" w:w="2448"/>
          </w:tcPr>
          <w:p>
            <w:r>
              <w:rPr>
                <w:rFonts w:ascii="Open Sans" w:hAnsi="Open Sans"/>
                <w:sz w:val="20"/>
              </w:rPr>
              <w:t>Statutory Bonus (if due)</w:t>
            </w:r>
          </w:p>
        </w:tc>
        <w:tc>
          <w:tcPr>
            <w:tcW w:type="dxa" w:w="2448"/>
          </w:tcPr>
          <w:p>
            <w:r>
              <w:rPr>
                <w:rFonts w:ascii="Open Sans" w:hAnsi="Open Sans"/>
                <w:sz w:val="20"/>
              </w:rPr>
              <w:t>Per Payment of Bonus Act, 1965</w:t>
            </w:r>
          </w:p>
        </w:tc>
        <w:tc>
          <w:tcPr>
            <w:tcW w:type="dxa" w:w="2448"/>
          </w:tcPr>
          <w:p/>
        </w:tc>
      </w:tr>
      <w:tr>
        <w:tc>
          <w:tcPr>
            <w:tcW w:type="dxa" w:w="2448"/>
          </w:tcPr>
          <w:p>
            <w:r>
              <w:rPr>
                <w:rFonts w:ascii="Open Sans" w:hAnsi="Open Sans"/>
                <w:sz w:val="20"/>
              </w:rPr>
              <w:t>1.4</w:t>
            </w:r>
          </w:p>
        </w:tc>
        <w:tc>
          <w:tcPr>
            <w:tcW w:type="dxa" w:w="2448"/>
          </w:tcPr>
          <w:p>
            <w:r>
              <w:rPr>
                <w:rFonts w:ascii="Open Sans" w:hAnsi="Open Sans"/>
                <w:sz w:val="20"/>
              </w:rPr>
              <w:t>Performance bonus / incentive (if due)</w:t>
            </w:r>
          </w:p>
        </w:tc>
        <w:tc>
          <w:tcPr>
            <w:tcW w:type="dxa" w:w="2448"/>
          </w:tcPr>
          <w:p>
            <w:r>
              <w:rPr>
                <w:rFonts w:ascii="Open Sans" w:hAnsi="Open Sans"/>
                <w:sz w:val="20"/>
              </w:rPr>
              <w:t>Per Incentive Plan / Appointment Letter</w:t>
            </w:r>
          </w:p>
        </w:tc>
        <w:tc>
          <w:tcPr>
            <w:tcW w:type="dxa" w:w="2448"/>
          </w:tcPr>
          <w:p/>
        </w:tc>
      </w:tr>
      <w:tr>
        <w:tc>
          <w:tcPr>
            <w:tcW w:type="dxa" w:w="2448"/>
          </w:tcPr>
          <w:p>
            <w:r>
              <w:rPr>
                <w:rFonts w:ascii="Open Sans" w:hAnsi="Open Sans"/>
                <w:sz w:val="20"/>
              </w:rPr>
              <w:t>1.5</w:t>
            </w:r>
          </w:p>
        </w:tc>
        <w:tc>
          <w:tcPr>
            <w:tcW w:type="dxa" w:w="2448"/>
          </w:tcPr>
          <w:p>
            <w:r>
              <w:rPr>
                <w:rFonts w:ascii="Open Sans" w:hAnsi="Open Sans"/>
                <w:sz w:val="20"/>
              </w:rPr>
              <w:t>Reimbursements pending (approved)</w:t>
            </w:r>
          </w:p>
        </w:tc>
        <w:tc>
          <w:tcPr>
            <w:tcW w:type="dxa" w:w="2448"/>
          </w:tcPr>
          <w:p>
            <w:r>
              <w:rPr>
                <w:rFonts w:ascii="Open Sans" w:hAnsi="Open Sans"/>
                <w:sz w:val="20"/>
              </w:rPr>
              <w:t>Per submitted claims</w:t>
            </w:r>
          </w:p>
        </w:tc>
        <w:tc>
          <w:tcPr>
            <w:tcW w:type="dxa" w:w="2448"/>
          </w:tcPr>
          <w:p/>
        </w:tc>
      </w:tr>
      <w:tr>
        <w:tc>
          <w:tcPr>
            <w:tcW w:type="dxa" w:w="2448"/>
          </w:tcPr>
          <w:p>
            <w:r>
              <w:rPr>
                <w:rFonts w:ascii="Open Sans" w:hAnsi="Open Sans"/>
                <w:sz w:val="20"/>
              </w:rPr>
              <w:t>1.6</w:t>
            </w:r>
          </w:p>
        </w:tc>
        <w:tc>
          <w:tcPr>
            <w:tcW w:type="dxa" w:w="2448"/>
          </w:tcPr>
          <w:p>
            <w:r>
              <w:rPr>
                <w:rFonts w:ascii="Open Sans" w:hAnsi="Open Sans"/>
                <w:b/>
                <w:sz w:val="20"/>
              </w:rPr>
              <w:t>Gratuity</w:t>
            </w:r>
            <w:r>
              <w:rPr>
                <w:rFonts w:ascii="Open Sans" w:hAnsi="Open Sans"/>
                <w:sz w:val="20"/>
              </w:rPr>
              <w:t xml:space="preserve"> (only if continuous service &gt;= 5 years)</w:t>
            </w:r>
          </w:p>
        </w:tc>
        <w:tc>
          <w:tcPr>
            <w:tcW w:type="dxa" w:w="2448"/>
          </w:tcPr>
          <w:p>
            <w:r>
              <w:rPr>
                <w:rFonts w:ascii="Open Sans" w:hAnsi="Open Sans"/>
                <w:sz w:val="20"/>
              </w:rPr>
              <w:t>(Last Basic x 15 / 26) x completed years — per Sec 4 of Payment of Gratuity Act, 1972</w:t>
            </w:r>
          </w:p>
        </w:tc>
        <w:tc>
          <w:tcPr>
            <w:tcW w:type="dxa" w:w="2448"/>
          </w:tcPr>
          <w:p/>
        </w:tc>
      </w:tr>
      <w:tr>
        <w:tc>
          <w:tcPr>
            <w:tcW w:type="dxa" w:w="2448"/>
          </w:tcPr>
          <w:p>
            <w:r>
              <w:rPr>
                <w:rFonts w:ascii="Open Sans" w:hAnsi="Open Sans"/>
                <w:sz w:val="20"/>
              </w:rPr>
              <w:t>1.7</w:t>
            </w:r>
          </w:p>
        </w:tc>
        <w:tc>
          <w:tcPr>
            <w:tcW w:type="dxa" w:w="2448"/>
          </w:tcPr>
          <w:p>
            <w:r>
              <w:rPr>
                <w:rFonts w:ascii="Open Sans" w:hAnsi="Open Sans"/>
                <w:sz w:val="20"/>
              </w:rPr>
              <w:t>Other (specify)</w:t>
            </w:r>
          </w:p>
        </w:tc>
        <w:tc>
          <w:tcPr>
            <w:tcW w:type="dxa" w:w="2448"/>
          </w:tcPr>
          <w:p/>
        </w:tc>
        <w:tc>
          <w:tcPr>
            <w:tcW w:type="dxa" w:w="2448"/>
          </w:tcPr>
          <w:p/>
        </w:tc>
      </w:tr>
      <w:tr>
        <w:tc>
          <w:tcPr>
            <w:tcW w:type="dxa" w:w="2448"/>
          </w:tcPr>
          <w:p/>
        </w:tc>
        <w:tc>
          <w:tcPr>
            <w:tcW w:type="dxa" w:w="2448"/>
          </w:tcPr>
          <w:p>
            <w:r>
              <w:rPr>
                <w:rFonts w:ascii="Open Sans" w:hAnsi="Open Sans"/>
                <w:b/>
                <w:sz w:val="20"/>
              </w:rPr>
              <w:t>Gross Payable (A)</w:t>
            </w:r>
          </w:p>
        </w:tc>
        <w:tc>
          <w:tcPr>
            <w:tcW w:type="dxa" w:w="2448"/>
          </w:tcPr>
          <w:p/>
        </w:tc>
        <w:tc>
          <w:tcPr>
            <w:tcW w:type="dxa" w:w="2448"/>
          </w:tcPr>
          <w:p/>
        </w:tc>
      </w:tr>
    </w:tbl>
    <w:p>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b/>
          <w:color w:val="59595B"/>
        </w:rPr>
        <w:t>Note on Gratuity:</w:t>
      </w:r>
      <w:r>
        <w:rPr>
          <w:rFonts w:ascii="Open Sans" w:hAnsi="Open Sans" w:cs="Open Sans"/>
          <w:color w:val="59595B"/>
        </w:rPr>
        <w:t xml:space="preserve"> If continuous service is less than five (5) years, no gratuity is payable under Section 4(1) of the Payment of Gratuity Act, 1972. If separation is due to proven misconduct, Section 4(6) forfeiture provisions may apply (wholly or partially, subject to notice and opportunity to be heard).</w:t>
      </w:r>
      <w:r>
        <w:rPr>
          <w:rFonts w:ascii="Open Sans" w:hAnsi="Open Sans" w:cs="Open Sans"/>
          <w:color w:val="59595B"/>
        </w:rPr>
      </w:r>
      <w:r>
        <w:rPr>
          <w:rFonts w:ascii="Open Sans" w:hAnsi="Open Sans" w:cs="Open Sans"/>
          <w:color w:val="59595B"/>
        </w:rPr>
      </w:r>
    </w:p>
    <w:p>
      <w:pPr>
        <w:pStyle w:val="Heading2"/>
      </w:pPr>
      <w:r>
        <w:rPr>
          <w:rFonts w:ascii="Open Sans" w:hAnsi="Open Sans" w:cs="Open Sans"/>
          <w:b/>
          <w:color w:val="1A1A2E"/>
          <w:sz w:val="28"/>
        </w:rPr>
        <w:t>2. Deductions (INR)</w:t>
      </w:r>
      <w:r>
        <w:rPr>
          <w:rFonts w:ascii="Open Sans" w:hAnsi="Open Sans" w:cs="Open Sans"/>
          <w:b/>
          <w:color w:val="1A1A2E"/>
          <w:sz w:val="28"/>
        </w:rPr>
      </w:r>
    </w:p>
    <w:tbl>
      <w:tblPr>
        <w:tblStyle w:val="LightGrid-Accent1"/>
        <w:tblW w:type="auto" w:w="0"/>
        <w:tblLook w:firstColumn="1" w:firstRow="1" w:lastColumn="0" w:lastRow="0" w:noHBand="0" w:noVBand="1" w:val="04A0"/>
      </w:tblPr>
      <w:tblGrid>
        <w:gridCol w:w="2448"/>
        <w:gridCol w:w="2448"/>
        <w:gridCol w:w="2448"/>
        <w:gridCol w:w="2448"/>
      </w:tblGrid>
      <w:tr>
        <w:tc>
          <w:tcPr>
            <w:tcW w:type="dxa" w:w="2448"/>
          </w:tcPr>
          <w:p>
            <w:r>
              <w:rPr>
                <w:rFonts w:ascii="Open Sans" w:hAnsi="Open Sans"/>
                <w:b/>
                <w:sz w:val="20"/>
              </w:rPr>
              <w:t>#</w:t>
            </w:r>
          </w:p>
        </w:tc>
        <w:tc>
          <w:tcPr>
            <w:tcW w:type="dxa" w:w="2448"/>
          </w:tcPr>
          <w:p>
            <w:r>
              <w:rPr>
                <w:rFonts w:ascii="Open Sans" w:hAnsi="Open Sans"/>
                <w:b/>
                <w:sz w:val="20"/>
              </w:rPr>
              <w:t>Item</w:t>
            </w:r>
          </w:p>
        </w:tc>
        <w:tc>
          <w:tcPr>
            <w:tcW w:type="dxa" w:w="2448"/>
          </w:tcPr>
          <w:p>
            <w:r>
              <w:rPr>
                <w:rFonts w:ascii="Open Sans" w:hAnsi="Open Sans"/>
                <w:b/>
                <w:sz w:val="20"/>
              </w:rPr>
              <w:t>Basis</w:t>
            </w:r>
          </w:p>
        </w:tc>
        <w:tc>
          <w:tcPr>
            <w:tcW w:type="dxa" w:w="2448"/>
          </w:tcPr>
          <w:p>
            <w:r>
              <w:rPr>
                <w:rFonts w:ascii="Open Sans" w:hAnsi="Open Sans"/>
                <w:b/>
                <w:sz w:val="20"/>
              </w:rPr>
              <w:t>Amount (INR)</w:t>
            </w:r>
          </w:p>
        </w:tc>
      </w:tr>
      <w:tr>
        <w:tc>
          <w:tcPr>
            <w:tcW w:type="dxa" w:w="2448"/>
          </w:tcPr>
          <w:p>
            <w:r>
              <w:rPr>
                <w:rFonts w:ascii="Open Sans" w:hAnsi="Open Sans"/>
                <w:sz w:val="20"/>
              </w:rPr>
              <w:t>2.1</w:t>
            </w:r>
          </w:p>
        </w:tc>
        <w:tc>
          <w:tcPr>
            <w:tcW w:type="dxa" w:w="2448"/>
          </w:tcPr>
          <w:p>
            <w:r>
              <w:rPr>
                <w:rFonts w:ascii="Open Sans" w:hAnsi="Open Sans"/>
                <w:sz w:val="20"/>
              </w:rPr>
              <w:t>TDS on salary &amp; FF</w:t>
            </w:r>
          </w:p>
        </w:tc>
        <w:tc>
          <w:tcPr>
            <w:tcW w:type="dxa" w:w="2448"/>
          </w:tcPr>
          <w:p>
            <w:r>
              <w:rPr>
                <w:rFonts w:ascii="Open Sans" w:hAnsi="Open Sans"/>
                <w:sz w:val="20"/>
              </w:rPr>
              <w:t>Income Tax Act, 1961 — applicable slab</w:t>
            </w:r>
          </w:p>
        </w:tc>
        <w:tc>
          <w:tcPr>
            <w:tcW w:type="dxa" w:w="2448"/>
          </w:tcPr>
          <w:p/>
        </w:tc>
      </w:tr>
      <w:tr>
        <w:tc>
          <w:tcPr>
            <w:tcW w:type="dxa" w:w="2448"/>
          </w:tcPr>
          <w:p>
            <w:r>
              <w:rPr>
                <w:rFonts w:ascii="Open Sans" w:hAnsi="Open Sans"/>
                <w:sz w:val="20"/>
              </w:rPr>
              <w:t>2.2</w:t>
            </w:r>
          </w:p>
        </w:tc>
        <w:tc>
          <w:tcPr>
            <w:tcW w:type="dxa" w:w="2448"/>
          </w:tcPr>
          <w:p>
            <w:r>
              <w:rPr>
                <w:rFonts w:ascii="Open Sans" w:hAnsi="Open Sans"/>
                <w:sz w:val="20"/>
              </w:rPr>
              <w:t>TDS on Leave Encashment</w:t>
            </w:r>
          </w:p>
        </w:tc>
        <w:tc>
          <w:tcPr>
            <w:tcW w:type="dxa" w:w="2448"/>
          </w:tcPr>
          <w:p>
            <w:r>
              <w:rPr>
                <w:rFonts w:ascii="Open Sans" w:hAnsi="Open Sans"/>
                <w:sz w:val="20"/>
              </w:rPr>
              <w:t>Sec 10(10AA), Income Tax Act, 1961 — exemption only for Govt employees; non-Govt exemption capped at INR 25,00,000 lifetime (per Notification dt. 24-May-2023)</w:t>
            </w:r>
          </w:p>
        </w:tc>
        <w:tc>
          <w:tcPr>
            <w:tcW w:type="dxa" w:w="2448"/>
          </w:tcPr>
          <w:p/>
        </w:tc>
      </w:tr>
      <w:tr>
        <w:tc>
          <w:tcPr>
            <w:tcW w:type="dxa" w:w="2448"/>
          </w:tcPr>
          <w:p>
            <w:r>
              <w:rPr>
                <w:rFonts w:ascii="Open Sans" w:hAnsi="Open Sans"/>
                <w:sz w:val="20"/>
              </w:rPr>
              <w:t>2.3</w:t>
            </w:r>
          </w:p>
        </w:tc>
        <w:tc>
          <w:tcPr>
            <w:tcW w:type="dxa" w:w="2448"/>
          </w:tcPr>
          <w:p>
            <w:r>
              <w:rPr>
                <w:rFonts w:ascii="Open Sans" w:hAnsi="Open Sans"/>
                <w:sz w:val="20"/>
              </w:rPr>
              <w:t>Provident Fund (EE share)</w:t>
            </w:r>
          </w:p>
        </w:tc>
        <w:tc>
          <w:tcPr>
            <w:tcW w:type="dxa" w:w="2448"/>
          </w:tcPr>
          <w:p>
            <w:r>
              <w:rPr>
                <w:rFonts w:ascii="Open Sans" w:hAnsi="Open Sans"/>
                <w:sz w:val="20"/>
              </w:rPr>
              <w:t>Statutory till LWD — to be remitted to EPFO</w:t>
            </w:r>
          </w:p>
        </w:tc>
        <w:tc>
          <w:tcPr>
            <w:tcW w:type="dxa" w:w="2448"/>
          </w:tcPr>
          <w:p/>
        </w:tc>
      </w:tr>
      <w:tr>
        <w:tc>
          <w:tcPr>
            <w:tcW w:type="dxa" w:w="2448"/>
          </w:tcPr>
          <w:p>
            <w:r>
              <w:rPr>
                <w:rFonts w:ascii="Open Sans" w:hAnsi="Open Sans"/>
                <w:sz w:val="20"/>
              </w:rPr>
              <w:t>2.4</w:t>
            </w:r>
          </w:p>
        </w:tc>
        <w:tc>
          <w:tcPr>
            <w:tcW w:type="dxa" w:w="2448"/>
          </w:tcPr>
          <w:p>
            <w:r>
              <w:rPr>
                <w:rFonts w:ascii="Open Sans" w:hAnsi="Open Sans"/>
                <w:sz w:val="20"/>
              </w:rPr>
              <w:t>Professional Tax (PT)</w:t>
            </w:r>
          </w:p>
        </w:tc>
        <w:tc>
          <w:tcPr>
            <w:tcW w:type="dxa" w:w="2448"/>
          </w:tcPr>
          <w:p>
            <w:r>
              <w:rPr>
                <w:rFonts w:ascii="Open Sans" w:hAnsi="Open Sans"/>
                <w:sz w:val="20"/>
              </w:rPr>
              <w:t>Per state PT rules, if applicable</w:t>
            </w:r>
          </w:p>
        </w:tc>
        <w:tc>
          <w:tcPr>
            <w:tcW w:type="dxa" w:w="2448"/>
          </w:tcPr>
          <w:p/>
        </w:tc>
      </w:tr>
      <w:tr>
        <w:tc>
          <w:tcPr>
            <w:tcW w:type="dxa" w:w="2448"/>
          </w:tcPr>
          <w:p>
            <w:r>
              <w:rPr>
                <w:rFonts w:ascii="Open Sans" w:hAnsi="Open Sans"/>
                <w:sz w:val="20"/>
              </w:rPr>
              <w:t>2.5</w:t>
            </w:r>
          </w:p>
        </w:tc>
        <w:tc>
          <w:tcPr>
            <w:tcW w:type="dxa" w:w="2448"/>
          </w:tcPr>
          <w:p>
            <w:r>
              <w:rPr>
                <w:rFonts w:ascii="Open Sans" w:hAnsi="Open Sans"/>
                <w:sz w:val="20"/>
              </w:rPr>
              <w:t>Labour Welfare Fund (LWF)</w:t>
            </w:r>
          </w:p>
        </w:tc>
        <w:tc>
          <w:tcPr>
            <w:tcW w:type="dxa" w:w="2448"/>
          </w:tcPr>
          <w:p>
            <w:r>
              <w:rPr>
                <w:rFonts w:ascii="Open Sans" w:hAnsi="Open Sans"/>
                <w:sz w:val="20"/>
              </w:rPr>
              <w:t>Haryana Labour Welfare Fund Act, 1981</w:t>
            </w:r>
          </w:p>
        </w:tc>
        <w:tc>
          <w:tcPr>
            <w:tcW w:type="dxa" w:w="2448"/>
          </w:tcPr>
          <w:p/>
        </w:tc>
      </w:tr>
      <w:tr>
        <w:tc>
          <w:tcPr>
            <w:tcW w:type="dxa" w:w="2448"/>
          </w:tcPr>
          <w:p>
            <w:r>
              <w:rPr>
                <w:rFonts w:ascii="Open Sans" w:hAnsi="Open Sans"/>
                <w:sz w:val="20"/>
              </w:rPr>
              <w:t>2.6</w:t>
            </w:r>
          </w:p>
        </w:tc>
        <w:tc>
          <w:tcPr>
            <w:tcW w:type="dxa" w:w="2448"/>
          </w:tcPr>
          <w:p>
            <w:r>
              <w:rPr>
                <w:rFonts w:ascii="Open Sans" w:hAnsi="Open Sans"/>
                <w:sz w:val="20"/>
              </w:rPr>
              <w:t>Notice period shortfall</w:t>
            </w:r>
          </w:p>
        </w:tc>
        <w:tc>
          <w:tcPr>
            <w:tcW w:type="dxa" w:w="2448"/>
          </w:tcPr>
          <w:p>
            <w:r>
              <w:rPr>
                <w:rFonts w:ascii="Open Sans" w:hAnsi="Open Sans"/>
                <w:sz w:val="20"/>
              </w:rPr>
              <w:t xml:space="preserve"> x (Gross/30) — per Appointment Letter</w:t>
            </w:r>
          </w:p>
        </w:tc>
        <w:tc>
          <w:tcPr>
            <w:tcW w:type="dxa" w:w="2448"/>
          </w:tcPr>
          <w:p/>
        </w:tc>
      </w:tr>
      <w:tr>
        <w:tc>
          <w:tcPr>
            <w:tcW w:type="dxa" w:w="2448"/>
          </w:tcPr>
          <w:p>
            <w:r>
              <w:rPr>
                <w:rFonts w:ascii="Open Sans" w:hAnsi="Open Sans"/>
                <w:sz w:val="20"/>
              </w:rPr>
              <w:t>2.7</w:t>
            </w:r>
          </w:p>
        </w:tc>
        <w:tc>
          <w:tcPr>
            <w:tcW w:type="dxa" w:w="2448"/>
          </w:tcPr>
          <w:p>
            <w:r>
              <w:rPr>
                <w:rFonts w:ascii="Open Sans" w:hAnsi="Open Sans"/>
                <w:sz w:val="20"/>
              </w:rPr>
              <w:t>Advances / loans outstanding</w:t>
            </w:r>
          </w:p>
        </w:tc>
        <w:tc>
          <w:tcPr>
            <w:tcW w:type="dxa" w:w="2448"/>
          </w:tcPr>
          <w:p>
            <w:r>
              <w:rPr>
                <w:rFonts w:ascii="Open Sans" w:hAnsi="Open Sans"/>
                <w:sz w:val="20"/>
              </w:rPr>
              <w:t>Per loan agreement / HR records</w:t>
            </w:r>
          </w:p>
        </w:tc>
        <w:tc>
          <w:tcPr>
            <w:tcW w:type="dxa" w:w="2448"/>
          </w:tcPr>
          <w:p/>
        </w:tc>
      </w:tr>
      <w:tr>
        <w:tc>
          <w:tcPr>
            <w:tcW w:type="dxa" w:w="2448"/>
          </w:tcPr>
          <w:p>
            <w:r>
              <w:rPr>
                <w:rFonts w:ascii="Open Sans" w:hAnsi="Open Sans"/>
                <w:sz w:val="20"/>
              </w:rPr>
              <w:t>2.8</w:t>
            </w:r>
          </w:p>
        </w:tc>
        <w:tc>
          <w:tcPr>
            <w:tcW w:type="dxa" w:w="2448"/>
          </w:tcPr>
          <w:p>
            <w:r>
              <w:rPr>
                <w:rFonts w:ascii="Open Sans" w:hAnsi="Open Sans"/>
                <w:sz w:val="20"/>
              </w:rPr>
              <w:t>Unreturned assets recovery</w:t>
            </w:r>
          </w:p>
        </w:tc>
        <w:tc>
          <w:tcPr>
            <w:tcW w:type="dxa" w:w="2448"/>
          </w:tcPr>
          <w:p>
            <w:r>
              <w:rPr>
                <w:rFonts w:ascii="Open Sans" w:hAnsi="Open Sans"/>
                <w:sz w:val="20"/>
              </w:rPr>
              <w:t>Laptop / ID / accessories at replacement cost</w:t>
            </w:r>
          </w:p>
        </w:tc>
        <w:tc>
          <w:tcPr>
            <w:tcW w:type="dxa" w:w="2448"/>
          </w:tcPr>
          <w:p/>
        </w:tc>
      </w:tr>
      <w:tr>
        <w:tc>
          <w:tcPr>
            <w:tcW w:type="dxa" w:w="2448"/>
          </w:tcPr>
          <w:p>
            <w:r>
              <w:rPr>
                <w:rFonts w:ascii="Open Sans" w:hAnsi="Open Sans"/>
                <w:sz w:val="20"/>
              </w:rPr>
              <w:t>2.9</w:t>
            </w:r>
          </w:p>
        </w:tc>
        <w:tc>
          <w:tcPr>
            <w:tcW w:type="dxa" w:w="2448"/>
          </w:tcPr>
          <w:p>
            <w:r>
              <w:rPr>
                <w:rFonts w:ascii="Open Sans" w:hAnsi="Open Sans"/>
                <w:sz w:val="20"/>
              </w:rPr>
              <w:t>Other recoveries (specify)</w:t>
            </w:r>
          </w:p>
        </w:tc>
        <w:tc>
          <w:tcPr>
            <w:tcW w:type="dxa" w:w="2448"/>
          </w:tcPr>
          <w:p/>
        </w:tc>
        <w:tc>
          <w:tcPr>
            <w:tcW w:type="dxa" w:w="2448"/>
          </w:tcPr>
          <w:p/>
        </w:tc>
      </w:tr>
      <w:tr>
        <w:tc>
          <w:tcPr>
            <w:tcW w:type="dxa" w:w="2448"/>
          </w:tcPr>
          <w:p/>
        </w:tc>
        <w:tc>
          <w:tcPr>
            <w:tcW w:type="dxa" w:w="2448"/>
          </w:tcPr>
          <w:p>
            <w:r>
              <w:rPr>
                <w:rFonts w:ascii="Open Sans" w:hAnsi="Open Sans"/>
                <w:b/>
                <w:sz w:val="20"/>
              </w:rPr>
              <w:t>Total Deductions (B)</w:t>
            </w:r>
          </w:p>
        </w:tc>
        <w:tc>
          <w:tcPr>
            <w:tcW w:type="dxa" w:w="2448"/>
          </w:tcPr>
          <w:p/>
        </w:tc>
        <w:tc>
          <w:tcPr>
            <w:tcW w:type="dxa" w:w="2448"/>
          </w:tcPr>
          <w:p/>
        </w:tc>
      </w:tr>
    </w:tbl>
    <w:p>
      <w:r>
        <w:rPr>
          <w:rFonts w:ascii="Open Sans" w:hAnsi="Open Sans" w:cs="Open Sans"/>
          <w:color w:val="59595B"/>
        </w:rPr>
      </w:r>
    </w:p>
    <w:p>
      <w:pPr>
        <w:pStyle w:val="Heading2"/>
      </w:pPr>
      <w:r>
        <w:rPr>
          <w:rFonts w:ascii="Open Sans" w:hAnsi="Open Sans" w:cs="Open Sans"/>
          <w:b/>
          <w:color w:val="1A1A2E"/>
          <w:sz w:val="28"/>
        </w:rPr>
        <w:t>3. Net Settlement</w:t>
      </w:r>
      <w:r>
        <w:rPr>
          <w:rFonts w:ascii="Open Sans" w:hAnsi="Open Sans" w:cs="Open Sans"/>
          <w:b/>
          <w:color w:val="1A1A2E"/>
          <w:sz w:val="28"/>
        </w:rPr>
      </w:r>
    </w:p>
    <w:tbl>
      <w:tblPr>
        <w:tblStyle w:val="LightGrid-Accent1"/>
        <w:tblW w:type="auto" w:w="0"/>
        <w:tblLook w:firstColumn="1" w:firstRow="1" w:lastColumn="0" w:lastRow="0" w:noHBand="0" w:noVBand="1" w:val="04A0"/>
      </w:tblPr>
      <w:tblGrid>
        <w:gridCol w:w="4896"/>
        <w:gridCol w:w="4896"/>
      </w:tblGrid>
      <w:tr>
        <w:tc>
          <w:tcPr>
            <w:tcW w:type="dxa" w:w="4896"/>
          </w:tcPr>
          <w:p/>
        </w:tc>
        <w:tc>
          <w:tcPr>
            <w:tcW w:type="dxa" w:w="4896"/>
          </w:tcPr>
          <w:p>
            <w:r>
              <w:rPr>
                <w:rFonts w:ascii="Open Sans" w:hAnsi="Open Sans"/>
                <w:b/>
                <w:sz w:val="20"/>
              </w:rPr>
              <w:t>INR</w:t>
            </w:r>
          </w:p>
        </w:tc>
      </w:tr>
      <w:tr>
        <w:tc>
          <w:tcPr>
            <w:tcW w:type="dxa" w:w="4896"/>
          </w:tcPr>
          <w:p>
            <w:r>
              <w:rPr>
                <w:rFonts w:ascii="Open Sans" w:hAnsi="Open Sans"/>
                <w:sz w:val="20"/>
              </w:rPr>
              <w:t>Gross Payable (A)</w:t>
            </w:r>
          </w:p>
        </w:tc>
        <w:tc>
          <w:tcPr>
            <w:tcW w:type="dxa" w:w="4896"/>
          </w:tcPr>
          <w:p/>
        </w:tc>
      </w:tr>
      <w:tr>
        <w:tc>
          <w:tcPr>
            <w:tcW w:type="dxa" w:w="4896"/>
          </w:tcPr>
          <w:p>
            <w:r>
              <w:rPr>
                <w:rFonts w:ascii="Open Sans" w:hAnsi="Open Sans"/>
                <w:sz w:val="20"/>
              </w:rPr>
              <w:t>Total Deductions (B)</w:t>
            </w:r>
          </w:p>
        </w:tc>
        <w:tc>
          <w:tcPr>
            <w:tcW w:type="dxa" w:w="4896"/>
          </w:tcPr>
          <w:p/>
        </w:tc>
      </w:tr>
      <w:tr>
        <w:tc>
          <w:tcPr>
            <w:tcW w:type="dxa" w:w="4896"/>
          </w:tcPr>
          <w:p>
            <w:r>
              <w:rPr>
                <w:rFonts w:ascii="Open Sans" w:hAnsi="Open Sans"/>
                <w:b/>
                <w:sz w:val="20"/>
              </w:rPr>
              <w:t>Net Payable / (Recoverable) (A - B)</w:t>
            </w:r>
          </w:p>
        </w:tc>
        <w:tc>
          <w:tcPr>
            <w:tcW w:type="dxa" w:w="4896"/>
          </w:tcPr>
          <w:p/>
        </w:tc>
      </w:tr>
    </w:tbl>
    <w:p>
      <w:r>
        <w:rPr>
          <w:rFonts w:ascii="Open Sans" w:hAnsi="Open Sans" w:cs="Open Sans"/>
          <w:color w:val="59595B"/>
        </w:rPr>
      </w:r>
    </w:p>
    <w:p>
      <w:r>
        <w:rPr>
          <w:rFonts w:ascii="Open Sans" w:hAnsi="Open Sans" w:cs="Open Sans"/>
          <w:color w:val="59595B"/>
        </w:rPr>
      </w:r>
      <w:r>
        <w:rPr>
          <w:rFonts w:ascii="Open Sans" w:hAnsi="Open Sans" w:cs="Open Sans"/>
          <w:color w:val="59595B"/>
        </w:rPr>
        <w:t>Payment will be made by NEFT to the bank account on record with Payroll on or before &lt;F&amp;F Payment Date&gt;.</w:t>
      </w:r>
      <w:r>
        <w:rPr>
          <w:rFonts w:ascii="Open Sans" w:hAnsi="Open Sans" w:cs="Open Sans"/>
          <w:color w:val="59595B"/>
        </w:rPr>
      </w:r>
    </w:p>
    <w:p>
      <w:pPr>
        <w:pStyle w:val="Heading2"/>
      </w:pPr>
      <w:r>
        <w:rPr>
          <w:rFonts w:ascii="Open Sans" w:hAnsi="Open Sans" w:cs="Open Sans"/>
          <w:b/>
          <w:color w:val="1A1A2E"/>
          <w:sz w:val="28"/>
        </w:rPr>
        <w:t>4. Clearance Signoff</w:t>
      </w:r>
      <w:r>
        <w:rPr>
          <w:rFonts w:ascii="Open Sans" w:hAnsi="Open Sans" w:cs="Open Sans"/>
          <w:b/>
          <w:color w:val="1A1A2E"/>
          <w:sz w:val="28"/>
        </w:rPr>
      </w:r>
    </w:p>
    <w:tbl>
      <w:tblPr>
        <w:tblStyle w:val="LightGrid-Accent1"/>
        <w:tblW w:type="auto" w:w="0"/>
        <w:tblLook w:firstColumn="1" w:firstRow="1" w:lastColumn="0" w:lastRow="0" w:noHBand="0" w:noVBand="1" w:val="04A0"/>
      </w:tblPr>
      <w:tblGrid>
        <w:gridCol w:w="1632"/>
        <w:gridCol w:w="1632"/>
        <w:gridCol w:w="1632"/>
        <w:gridCol w:w="1632"/>
        <w:gridCol w:w="1632"/>
        <w:gridCol w:w="1632"/>
      </w:tblGrid>
      <w:tr>
        <w:tc>
          <w:tcPr>
            <w:tcW w:type="dxa" w:w="1632"/>
          </w:tcPr>
          <w:p>
            <w:r>
              <w:rPr>
                <w:rFonts w:ascii="Open Sans" w:hAnsi="Open Sans"/>
                <w:b/>
                <w:sz w:val="20"/>
              </w:rPr>
              <w:t>Department</w:t>
            </w:r>
          </w:p>
        </w:tc>
        <w:tc>
          <w:tcPr>
            <w:tcW w:type="dxa" w:w="1632"/>
          </w:tcPr>
          <w:p>
            <w:r>
              <w:rPr>
                <w:rFonts w:ascii="Open Sans" w:hAnsi="Open Sans"/>
                <w:b/>
                <w:sz w:val="20"/>
              </w:rPr>
              <w:t>Cleared (Y/N)</w:t>
            </w:r>
          </w:p>
        </w:tc>
        <w:tc>
          <w:tcPr>
            <w:tcW w:type="dxa" w:w="1632"/>
          </w:tcPr>
          <w:p>
            <w:r>
              <w:rPr>
                <w:rFonts w:ascii="Open Sans" w:hAnsi="Open Sans"/>
                <w:b/>
                <w:sz w:val="20"/>
              </w:rPr>
              <w:t>Comments</w:t>
            </w:r>
          </w:p>
        </w:tc>
        <w:tc>
          <w:tcPr>
            <w:tcW w:type="dxa" w:w="1632"/>
          </w:tcPr>
          <w:p>
            <w:r>
              <w:rPr>
                <w:rFonts w:ascii="Open Sans" w:hAnsi="Open Sans"/>
                <w:b/>
                <w:sz w:val="20"/>
              </w:rPr>
              <w:t>Name</w:t>
            </w:r>
          </w:p>
        </w:tc>
        <w:tc>
          <w:tcPr>
            <w:tcW w:type="dxa" w:w="1632"/>
          </w:tcPr>
          <w:p>
            <w:r>
              <w:rPr>
                <w:rFonts w:ascii="Open Sans" w:hAnsi="Open Sans"/>
                <w:b/>
                <w:sz w:val="20"/>
              </w:rPr>
              <w:t>Signature</w:t>
            </w:r>
          </w:p>
        </w:tc>
        <w:tc>
          <w:tcPr>
            <w:tcW w:type="dxa" w:w="1632"/>
          </w:tcPr>
          <w:p>
            <w:r>
              <w:rPr>
                <w:rFonts w:ascii="Open Sans" w:hAnsi="Open Sans"/>
                <w:b/>
                <w:sz w:val="20"/>
              </w:rPr>
              <w:t>Date</w:t>
            </w:r>
          </w:p>
        </w:tc>
      </w:tr>
      <w:tr>
        <w:tc>
          <w:tcPr>
            <w:tcW w:type="dxa" w:w="1632"/>
          </w:tcPr>
          <w:p>
            <w:r>
              <w:rPr>
                <w:rFonts w:ascii="Open Sans" w:hAnsi="Open Sans"/>
                <w:sz w:val="20"/>
              </w:rPr>
              <w:t>Reporting Manager</w:t>
            </w:r>
          </w:p>
        </w:tc>
        <w:tc>
          <w:tcPr>
            <w:tcW w:type="dxa" w:w="1632"/>
          </w:tcPr>
          <w:p/>
        </w:tc>
        <w:tc>
          <w:tcPr>
            <w:tcW w:type="dxa" w:w="1632"/>
          </w:tcPr>
          <w:p/>
        </w:tc>
        <w:tc>
          <w:tcPr>
            <w:tcW w:type="dxa" w:w="1632"/>
          </w:tcPr>
          <w:p/>
        </w:tc>
        <w:tc>
          <w:tcPr>
            <w:tcW w:type="dxa" w:w="1632"/>
          </w:tcPr>
          <w:p/>
        </w:tc>
        <w:tc>
          <w:tcPr>
            <w:tcW w:type="dxa" w:w="1632"/>
          </w:tcPr>
          <w:p/>
        </w:tc>
      </w:tr>
      <w:tr>
        <w:tc>
          <w:tcPr>
            <w:tcW w:type="dxa" w:w="1632"/>
          </w:tcPr>
          <w:p>
            <w:r>
              <w:rPr>
                <w:rFonts w:ascii="Open Sans" w:hAnsi="Open Sans"/>
                <w:sz w:val="20"/>
              </w:rPr>
              <w:t>IT (laptop, accounts, MFA, VPN, email)</w:t>
            </w:r>
          </w:p>
        </w:tc>
        <w:tc>
          <w:tcPr>
            <w:tcW w:type="dxa" w:w="1632"/>
          </w:tcPr>
          <w:p/>
        </w:tc>
        <w:tc>
          <w:tcPr>
            <w:tcW w:type="dxa" w:w="1632"/>
          </w:tcPr>
          <w:p/>
        </w:tc>
        <w:tc>
          <w:tcPr>
            <w:tcW w:type="dxa" w:w="1632"/>
          </w:tcPr>
          <w:p/>
        </w:tc>
        <w:tc>
          <w:tcPr>
            <w:tcW w:type="dxa" w:w="1632"/>
          </w:tcPr>
          <w:p/>
        </w:tc>
        <w:tc>
          <w:tcPr>
            <w:tcW w:type="dxa" w:w="1632"/>
          </w:tcPr>
          <w:p/>
        </w:tc>
      </w:tr>
      <w:tr>
        <w:tc>
          <w:tcPr>
            <w:tcW w:type="dxa" w:w="1632"/>
          </w:tcPr>
          <w:p>
            <w:r>
              <w:rPr>
                <w:rFonts w:ascii="Open Sans" w:hAnsi="Open Sans"/>
                <w:sz w:val="20"/>
              </w:rPr>
              <w:t>Admin (ID card, access card, locker, stationery)</w:t>
            </w:r>
          </w:p>
        </w:tc>
        <w:tc>
          <w:tcPr>
            <w:tcW w:type="dxa" w:w="1632"/>
          </w:tcPr>
          <w:p/>
        </w:tc>
        <w:tc>
          <w:tcPr>
            <w:tcW w:type="dxa" w:w="1632"/>
          </w:tcPr>
          <w:p/>
        </w:tc>
        <w:tc>
          <w:tcPr>
            <w:tcW w:type="dxa" w:w="1632"/>
          </w:tcPr>
          <w:p/>
        </w:tc>
        <w:tc>
          <w:tcPr>
            <w:tcW w:type="dxa" w:w="1632"/>
          </w:tcPr>
          <w:p/>
        </w:tc>
        <w:tc>
          <w:tcPr>
            <w:tcW w:type="dxa" w:w="1632"/>
          </w:tcPr>
          <w:p/>
        </w:tc>
      </w:tr>
      <w:tr>
        <w:tc>
          <w:tcPr>
            <w:tcW w:type="dxa" w:w="1632"/>
          </w:tcPr>
          <w:p>
            <w:r>
              <w:rPr>
                <w:rFonts w:ascii="Open Sans" w:hAnsi="Open Sans"/>
                <w:sz w:val="20"/>
              </w:rPr>
              <w:t>Finance (advances, reimbursements, travel)</w:t>
            </w:r>
          </w:p>
        </w:tc>
        <w:tc>
          <w:tcPr>
            <w:tcW w:type="dxa" w:w="1632"/>
          </w:tcPr>
          <w:p/>
        </w:tc>
        <w:tc>
          <w:tcPr>
            <w:tcW w:type="dxa" w:w="1632"/>
          </w:tcPr>
          <w:p/>
        </w:tc>
        <w:tc>
          <w:tcPr>
            <w:tcW w:type="dxa" w:w="1632"/>
          </w:tcPr>
          <w:p/>
        </w:tc>
        <w:tc>
          <w:tcPr>
            <w:tcW w:type="dxa" w:w="1632"/>
          </w:tcPr>
          <w:p/>
        </w:tc>
        <w:tc>
          <w:tcPr>
            <w:tcW w:type="dxa" w:w="1632"/>
          </w:tcPr>
          <w:p/>
        </w:tc>
      </w:tr>
      <w:tr>
        <w:tc>
          <w:tcPr>
            <w:tcW w:type="dxa" w:w="1632"/>
          </w:tcPr>
          <w:p>
            <w:r>
              <w:rPr>
                <w:rFonts w:ascii="Open Sans" w:hAnsi="Open Sans"/>
                <w:sz w:val="20"/>
              </w:rPr>
              <w:t>HR (documents, policy acknowledgements)</w:t>
            </w:r>
          </w:p>
        </w:tc>
        <w:tc>
          <w:tcPr>
            <w:tcW w:type="dxa" w:w="1632"/>
          </w:tcPr>
          <w:p/>
        </w:tc>
        <w:tc>
          <w:tcPr>
            <w:tcW w:type="dxa" w:w="1632"/>
          </w:tcPr>
          <w:p/>
        </w:tc>
        <w:tc>
          <w:tcPr>
            <w:tcW w:type="dxa" w:w="1632"/>
          </w:tcPr>
          <w:p/>
        </w:tc>
        <w:tc>
          <w:tcPr>
            <w:tcW w:type="dxa" w:w="1632"/>
          </w:tcPr>
          <w:p/>
        </w:tc>
        <w:tc>
          <w:tcPr>
            <w:tcW w:type="dxa" w:w="1632"/>
          </w:tcPr>
          <w:p/>
        </w:tc>
      </w:tr>
    </w:tbl>
    <w:p>
      <w:r>
        <w:rPr>
          <w:rFonts w:ascii="Open Sans" w:hAnsi="Open Sans" w:cs="Open Sans"/>
          <w:color w:val="59595B"/>
        </w:rPr>
      </w:r>
    </w:p>
    <w:p>
      <w:pPr>
        <w:pStyle w:val="Heading2"/>
      </w:pPr>
      <w:r>
        <w:rPr>
          <w:rFonts w:ascii="Open Sans" w:hAnsi="Open Sans" w:cs="Open Sans"/>
          <w:b/>
          <w:color w:val="1A1A2E"/>
          <w:sz w:val="28"/>
        </w:rPr>
        <w:t>5. Statutory &amp; Post-Exit Items</w:t>
      </w:r>
      <w:r>
        <w:rPr>
          <w:rFonts w:ascii="Open Sans" w:hAnsi="Open Sans" w:cs="Open Sans"/>
          <w:b/>
          <w:color w:val="1A1A2E"/>
          <w:sz w:val="28"/>
        </w:rPr>
      </w:r>
      <w:r>
        <w:rPr>
          <w:rFonts w:ascii="Open Sans" w:hAnsi="Open Sans" w:cs="Open Sans"/>
          <w:b/>
          <w:color w:val="1A1A2E"/>
          <w:sz w:val="28"/>
        </w:rPr>
      </w:r>
    </w:p>
    <w:p>
      <w:pPr>
        <w:pStyle w:val="ListBullet"/>
        <w:spacing w:line="240" w:lineRule="auto"/>
        <w:ind w:left="720"/>
      </w:pPr>
      <w:r>
        <w:rPr>
          <w:rFonts w:ascii="Open Sans" w:hAnsi="Open Sans" w:cs="Open Sans"/>
          <w:color w:val="59595B"/>
        </w:rPr>
      </w:r>
      <w:r>
        <w:rPr>
          <w:rFonts w:ascii="Open Sans" w:hAnsi="Open Sans" w:cs="Open Sans"/>
          <w:color w:val="59595B"/>
        </w:rPr>
        <w:t xml:space="preserve">[ ] </w:t>
      </w:r>
      <w:r>
        <w:rPr>
          <w:rFonts w:ascii="Open Sans" w:hAnsi="Open Sans" w:cs="Open Sans"/>
          <w:b/>
          <w:color w:val="59595B"/>
        </w:rPr>
        <w:t>Provident Fund:</w:t>
      </w:r>
      <w:r>
        <w:rPr>
          <w:rFonts w:ascii="Open Sans" w:hAnsi="Open Sans" w:cs="Open Sans"/>
          <w:color w:val="59595B"/>
        </w:rPr>
        <w:t xml:space="preserve"> UAN passbook instructions shared. Employee to initiate withdrawal / transfer via EPFO Member Portal (https://unifiedportal-mem.epfindia.gov.in/). Employer contribution remitted up to LWD.</w:t>
      </w:r>
      <w:r>
        <w:rPr>
          <w:rFonts w:ascii="Open Sans" w:hAnsi="Open Sans" w:cs="Open Sans"/>
          <w:color w:val="59595B"/>
        </w:rPr>
      </w:r>
    </w:p>
    <w:p>
      <w:pPr>
        <w:pStyle w:val="ListBullet"/>
        <w:spacing w:line="240" w:lineRule="auto"/>
        <w:ind w:left="720"/>
      </w:pPr>
      <w:r>
        <w:rPr>
          <w:rFonts w:ascii="Open Sans" w:hAnsi="Open Sans" w:cs="Open Sans"/>
          <w:color w:val="59595B"/>
        </w:rPr>
      </w:r>
      <w:r>
        <w:rPr>
          <w:rFonts w:ascii="Open Sans" w:hAnsi="Open Sans" w:cs="Open Sans"/>
          <w:color w:val="59595B"/>
        </w:rPr>
        <w:t xml:space="preserve">[ ] </w:t>
      </w:r>
      <w:r>
        <w:rPr>
          <w:rFonts w:ascii="Open Sans" w:hAnsi="Open Sans" w:cs="Open Sans"/>
          <w:b/>
          <w:color w:val="59595B"/>
        </w:rPr>
        <w:t>Gratuity (if applicable):</w:t>
      </w:r>
      <w:r>
        <w:rPr>
          <w:rFonts w:ascii="Open Sans" w:hAnsi="Open Sans" w:cs="Open Sans"/>
          <w:color w:val="59595B"/>
        </w:rPr>
        <w:t xml:space="preserve"> Form I received from employee under Rule 7 of Payment of Gratuity Rules, 1972; Gratuity payable within thirty (30) days of receipt as per Section 7(3) of the Payment of Gratuity Act, 1972.</w:t>
      </w:r>
      <w:r>
        <w:rPr>
          <w:rFonts w:ascii="Open Sans" w:hAnsi="Open Sans" w:cs="Open Sans"/>
          <w:color w:val="59595B"/>
        </w:rPr>
      </w:r>
    </w:p>
    <w:p>
      <w:pPr>
        <w:pStyle w:val="ListBullet"/>
        <w:spacing w:line="240" w:lineRule="auto"/>
        <w:ind w:left="720"/>
      </w:pPr>
      <w:r>
        <w:rPr>
          <w:rFonts w:ascii="Open Sans" w:hAnsi="Open Sans" w:cs="Open Sans"/>
          <w:color w:val="59595B"/>
        </w:rPr>
      </w:r>
      <w:r>
        <w:rPr>
          <w:rFonts w:ascii="Open Sans" w:hAnsi="Open Sans" w:cs="Open Sans"/>
          <w:color w:val="59595B"/>
        </w:rPr>
        <w:t xml:space="preserve">[ ] </w:t>
      </w:r>
      <w:r>
        <w:rPr>
          <w:rFonts w:ascii="Open Sans" w:hAnsi="Open Sans" w:cs="Open Sans"/>
          <w:b/>
          <w:color w:val="59595B"/>
        </w:rPr>
        <w:t>ESI (if applicable):</w:t>
      </w:r>
      <w:r>
        <w:rPr>
          <w:rFonts w:ascii="Open Sans" w:hAnsi="Open Sans" w:cs="Open Sans"/>
          <w:color w:val="59595B"/>
        </w:rPr>
        <w:t xml:space="preserve"> Contributions remitted till LWD; ESIC card retained by employee.</w:t>
      </w:r>
      <w:r>
        <w:rPr>
          <w:rFonts w:ascii="Open Sans" w:hAnsi="Open Sans" w:cs="Open Sans"/>
          <w:color w:val="59595B"/>
        </w:rPr>
      </w:r>
    </w:p>
    <w:p>
      <w:pPr>
        <w:pStyle w:val="ListBullet"/>
        <w:spacing w:line="240" w:lineRule="auto"/>
        <w:ind w:left="720"/>
      </w:pPr>
      <w:r>
        <w:rPr>
          <w:rFonts w:ascii="Open Sans" w:hAnsi="Open Sans" w:cs="Open Sans"/>
          <w:color w:val="59595B"/>
        </w:rPr>
      </w:r>
      <w:r>
        <w:rPr>
          <w:rFonts w:ascii="Open Sans" w:hAnsi="Open Sans" w:cs="Open Sans"/>
          <w:color w:val="59595B"/>
        </w:rPr>
        <w:t xml:space="preserve">[ ] </w:t>
      </w:r>
      <w:r>
        <w:rPr>
          <w:rFonts w:ascii="Open Sans" w:hAnsi="Open Sans" w:cs="Open Sans"/>
          <w:b/>
          <w:color w:val="59595B"/>
        </w:rPr>
        <w:t>Form 16:</w:t>
      </w:r>
      <w:r>
        <w:rPr>
          <w:rFonts w:ascii="Open Sans" w:hAnsi="Open Sans" w:cs="Open Sans"/>
          <w:color w:val="59595B"/>
        </w:rPr>
        <w:t xml:space="preserve"> To be issued on or before 15 June of next financial year (Rule 31, Income Tax Rules, 1962).</w:t>
      </w:r>
      <w:r>
        <w:rPr>
          <w:rFonts w:ascii="Open Sans" w:hAnsi="Open Sans" w:cs="Open Sans"/>
          <w:color w:val="59595B"/>
        </w:rPr>
      </w:r>
    </w:p>
    <w:p>
      <w:pPr>
        <w:pStyle w:val="ListBullet"/>
        <w:spacing w:line="240" w:lineRule="auto"/>
        <w:ind w:left="720"/>
      </w:pPr>
      <w:r>
        <w:rPr>
          <w:rFonts w:ascii="Open Sans" w:hAnsi="Open Sans" w:cs="Open Sans"/>
          <w:color w:val="59595B"/>
        </w:rPr>
      </w:r>
      <w:r>
        <w:rPr>
          <w:rFonts w:ascii="Open Sans" w:hAnsi="Open Sans" w:cs="Open Sans"/>
          <w:color w:val="59595B"/>
        </w:rPr>
        <w:t xml:space="preserve">[ ] </w:t>
      </w:r>
      <w:r>
        <w:rPr>
          <w:rFonts w:ascii="Open Sans" w:hAnsi="Open Sans" w:cs="Open Sans"/>
          <w:b/>
          <w:color w:val="59595B"/>
        </w:rPr>
        <w:t>Form 12B / BA:</w:t>
      </w:r>
      <w:r>
        <w:rPr>
          <w:rFonts w:ascii="Open Sans" w:hAnsi="Open Sans" w:cs="Open Sans"/>
          <w:color w:val="59595B"/>
        </w:rPr>
        <w:t xml:space="preserve"> Available on request.</w:t>
      </w:r>
      <w:r>
        <w:rPr>
          <w:rFonts w:ascii="Open Sans" w:hAnsi="Open Sans" w:cs="Open Sans"/>
          <w:color w:val="59595B"/>
        </w:rPr>
      </w:r>
    </w:p>
    <w:p>
      <w:pPr>
        <w:pStyle w:val="ListBullet"/>
        <w:spacing w:line="240" w:lineRule="auto"/>
        <w:ind w:left="720"/>
      </w:pPr>
      <w:r>
        <w:rPr>
          <w:rFonts w:ascii="Open Sans" w:hAnsi="Open Sans" w:cs="Open Sans"/>
          <w:color w:val="59595B"/>
        </w:rPr>
      </w:r>
      <w:r>
        <w:rPr>
          <w:rFonts w:ascii="Open Sans" w:hAnsi="Open Sans" w:cs="Open Sans"/>
          <w:color w:val="59595B"/>
        </w:rPr>
        <w:t xml:space="preserve">[ ] </w:t>
      </w:r>
      <w:r>
        <w:rPr>
          <w:rFonts w:ascii="Open Sans" w:hAnsi="Open Sans" w:cs="Open Sans"/>
          <w:b/>
          <w:color w:val="59595B"/>
        </w:rPr>
        <w:t>Relieving Letter issued:</w:t>
      </w:r>
      <w:r>
        <w:rPr>
          <w:rFonts w:ascii="Open Sans" w:hAnsi="Open Sans" w:cs="Open Sans"/>
          <w:color w:val="59595B"/>
        </w:rPr>
        <w:t xml:space="preserve"> Yes / No — date: </w:t>
      </w:r>
      <w:r>
        <w:rPr>
          <w:rFonts w:ascii="Open Sans" w:hAnsi="Open Sans" w:cs="Open Sans"/>
          <w:b/>
          <w:i/>
          <w:color w:val="59595B"/>
        </w:rPr>
        <w:t>_</w:t>
      </w:r>
      <w:r>
        <w:rPr>
          <w:rFonts w:ascii="Open Sans" w:hAnsi="Open Sans" w:cs="Open Sans"/>
          <w:color w:val="59595B"/>
        </w:rPr>
      </w:r>
    </w:p>
    <w:p>
      <w:pPr>
        <w:pStyle w:val="ListBullet"/>
        <w:spacing w:line="240" w:lineRule="auto"/>
        <w:ind w:left="720"/>
      </w:pPr>
      <w:r>
        <w:rPr>
          <w:rFonts w:ascii="Open Sans" w:hAnsi="Open Sans" w:cs="Open Sans"/>
          <w:color w:val="59595B"/>
        </w:rPr>
      </w:r>
      <w:r>
        <w:rPr>
          <w:rFonts w:ascii="Open Sans" w:hAnsi="Open Sans" w:cs="Open Sans"/>
          <w:color w:val="59595B"/>
        </w:rPr>
        <w:t xml:space="preserve">[ ] </w:t>
      </w:r>
      <w:r>
        <w:rPr>
          <w:rFonts w:ascii="Open Sans" w:hAnsi="Open Sans" w:cs="Open Sans"/>
          <w:b/>
          <w:color w:val="59595B"/>
        </w:rPr>
        <w:t>Experience Letter issued:</w:t>
      </w:r>
      <w:r>
        <w:rPr>
          <w:rFonts w:ascii="Open Sans" w:hAnsi="Open Sans" w:cs="Open Sans"/>
          <w:color w:val="59595B"/>
        </w:rPr>
        <w:t xml:space="preserve"> Yes / No — date: </w:t>
      </w:r>
      <w:r>
        <w:rPr>
          <w:rFonts w:ascii="Open Sans" w:hAnsi="Open Sans" w:cs="Open Sans"/>
          <w:b/>
          <w:i/>
          <w:color w:val="59595B"/>
        </w:rPr>
        <w:t>_</w:t>
      </w:r>
      <w:r>
        <w:rPr>
          <w:rFonts w:ascii="Open Sans" w:hAnsi="Open Sans" w:cs="Open Sans"/>
          <w:color w:val="59595B"/>
        </w:rPr>
      </w:r>
      <w:r>
        <w:rPr>
          <w:rFonts w:ascii="Open Sans" w:hAnsi="Open Sans" w:cs="Open Sans"/>
          <w:color w:val="59595B"/>
        </w:rPr>
      </w:r>
    </w:p>
    <w:p>
      <w:pPr>
        <w:pStyle w:val="Heading2"/>
      </w:pPr>
      <w:r>
        <w:rPr>
          <w:rFonts w:ascii="Open Sans" w:hAnsi="Open Sans" w:cs="Open Sans"/>
          <w:b/>
          <w:color w:val="1A1A2E"/>
          <w:sz w:val="28"/>
        </w:rPr>
        <w:t>6. Employee Full-Release Acknowledgement</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I, &lt;Employee Name&gt; (Employee ID: &lt;EMP-XXXX&gt;), acknowledge the following:</w:t>
      </w:r>
      <w:r>
        <w:rPr>
          <w:rFonts w:ascii="Open Sans" w:hAnsi="Open Sans" w:cs="Open Sans"/>
          <w:color w:val="59595B"/>
        </w:rPr>
      </w:r>
    </w:p>
    <w:p>
      <w:r>
        <w:rPr>
          <w:rFonts w:ascii="Open Sans" w:hAnsi="Open Sans" w:cs="Open Sans"/>
          <w:color w:val="59595B"/>
        </w:rPr>
      </w:r>
      <w:r>
        <w:rPr>
          <w:rFonts w:ascii="Open Sans" w:hAnsi="Open Sans" w:cs="Open Sans"/>
          <w:color w:val="59595B"/>
        </w:rPr>
        <w:t>(a) I have received / will receive the Net Payable amount of INR &lt;Amount&gt; (Rupees &lt;in words&gt; only) as Full &amp; Final Settlement of all my dues from Technijian IT Services Pvt. Ltd. in respect of my employment up to &lt;LWD&gt;.</w:t>
      </w:r>
      <w:r>
        <w:rPr>
          <w:rFonts w:ascii="Open Sans" w:hAnsi="Open Sans" w:cs="Open Sans"/>
          <w:color w:val="59595B"/>
        </w:rPr>
      </w:r>
    </w:p>
    <w:p>
      <w:r>
        <w:rPr>
          <w:rFonts w:ascii="Open Sans" w:hAnsi="Open Sans" w:cs="Open Sans"/>
          <w:color w:val="59595B"/>
        </w:rPr>
      </w:r>
      <w:r>
        <w:rPr>
          <w:rFonts w:ascii="Open Sans" w:hAnsi="Open Sans" w:cs="Open Sans"/>
          <w:color w:val="59595B"/>
        </w:rPr>
        <w:t>(b) I confirm that, save and except statutory dues (PF, Gratuity, Form 16), I have no further claims against the Company, its directors, officers, or affiliates, arising out of or relating to my employment or its cessation.</w:t>
      </w:r>
      <w:r>
        <w:rPr>
          <w:rFonts w:ascii="Open Sans" w:hAnsi="Open Sans" w:cs="Open Sans"/>
          <w:color w:val="59595B"/>
        </w:rPr>
      </w:r>
    </w:p>
    <w:p>
      <w:r>
        <w:rPr>
          <w:rFonts w:ascii="Open Sans" w:hAnsi="Open Sans" w:cs="Open Sans"/>
          <w:color w:val="59595B"/>
        </w:rPr>
      </w:r>
      <w:r>
        <w:rPr>
          <w:rFonts w:ascii="Open Sans" w:hAnsi="Open Sans" w:cs="Open Sans"/>
          <w:color w:val="59595B"/>
        </w:rPr>
        <w:t>(c) I confirm that I have returned all Company assets and have no Company property in my possession.</w:t>
      </w:r>
      <w:r>
        <w:rPr>
          <w:rFonts w:ascii="Open Sans" w:hAnsi="Open Sans" w:cs="Open Sans"/>
          <w:color w:val="59595B"/>
        </w:rPr>
      </w:r>
    </w:p>
    <w:p>
      <w:r>
        <w:rPr>
          <w:rFonts w:ascii="Open Sans" w:hAnsi="Open Sans" w:cs="Open Sans"/>
          <w:color w:val="59595B"/>
        </w:rPr>
      </w:r>
      <w:r>
        <w:rPr>
          <w:rFonts w:ascii="Open Sans" w:hAnsi="Open Sans" w:cs="Open Sans"/>
          <w:color w:val="59595B"/>
        </w:rPr>
        <w:t>(d) I confirm that my obligations relating to confidentiality, non-disclosure, intellectual property assignment, and non-solicitation of clients and employees (for twelve (12) months from LWD) set out in my Appointment Letter and any Non-Disclosure Agreement continue to bind me post-separation.</w:t>
      </w:r>
      <w:r>
        <w:rPr>
          <w:rFonts w:ascii="Open Sans" w:hAnsi="Open Sans" w:cs="Open Sans"/>
          <w:color w:val="59595B"/>
        </w:rPr>
      </w:r>
    </w:p>
    <w:p>
      <w:r>
        <w:rPr>
          <w:rFonts w:ascii="Open Sans" w:hAnsi="Open Sans" w:cs="Open Sans"/>
          <w:color w:val="59595B"/>
        </w:rPr>
      </w:r>
      <w:r>
        <w:rPr>
          <w:rFonts w:ascii="Open Sans" w:hAnsi="Open Sans" w:cs="Open Sans"/>
          <w:color w:val="59595B"/>
        </w:rPr>
        <w:t>(e) I understand that post-employment non-compete restrictions are void under Section 27 of the Indian Contract Act, 1872, while non-solicitation obligations remain fully enforceable.</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Employee Signature: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br/>
      </w:r>
      <w:r>
        <w:rPr>
          <w:rFonts w:ascii="Open Sans" w:hAnsi="Open Sans" w:cs="Open Sans"/>
          <w:b/>
          <w:i/>
          <w:color w:val="59595B"/>
        </w:rPr>
        <w:t>Name: &lt;Employee Name&gt;</w:t>
        <w:br/>
      </w:r>
      <w:r>
        <w:rPr>
          <w:rFonts w:ascii="Open Sans" w:hAnsi="Open Sans" w:cs="Open Sans"/>
          <w:b/>
          <w:i/>
          <w:color w:val="59595B"/>
        </w:rPr>
        <w:t xml:space="preserve">Date: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w:t>
      </w:r>
      <w:r>
        <w:rPr>
          <w:rFonts w:ascii="Open Sans" w:hAnsi="Open Sans" w:cs="Open Sans"/>
          <w:color w:val="59595B"/>
        </w:rPr>
      </w:r>
    </w:p>
    <w:p>
      <w:pPr>
        <w:pBdr>
          <w:bottom w:val="single" w:sz="6" w:space="1" w:color="auto"/>
        </w:pBdr>
      </w:pPr>
      <w:r>
        <w:rPr>
          <w:rFonts w:ascii="Open Sans" w:hAnsi="Open Sans" w:cs="Open Sans"/>
          <w:color w:val="59595B"/>
        </w:rPr>
      </w:r>
    </w:p>
    <w:p>
      <w:pPr>
        <w:pStyle w:val="Heading3"/>
      </w:pPr>
      <w:r>
        <w:rPr>
          <w:rFonts w:ascii="Open Sans" w:hAnsi="Open Sans" w:cs="Open Sans"/>
          <w:b/>
          <w:color w:val="1A1A2E"/>
          <w:sz w:val="24"/>
        </w:rPr>
        <w:t>Authorised Company Signatories</w:t>
      </w:r>
      <w:r>
        <w:rPr>
          <w:rFonts w:ascii="Open Sans" w:hAnsi="Open Sans" w:cs="Open Sans"/>
          <w:b/>
          <w:color w:val="1A1A2E"/>
          <w:sz w:val="24"/>
        </w:rPr>
      </w:r>
    </w:p>
    <w:p>
      <w:r>
        <w:rPr>
          <w:rFonts w:ascii="Open Sans" w:hAnsi="Open Sans" w:cs="Open Sans"/>
          <w:color w:val="59595B"/>
        </w:rPr>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 xml:space="preserve">_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w:t>
        <w:br/>
      </w:r>
      <w:r>
        <w:rPr>
          <w:rFonts w:ascii="Open Sans" w:hAnsi="Open Sans" w:cs="Open Sans"/>
          <w:color w:val="59595B"/>
        </w:rPr>
      </w:r>
      <w:r>
        <w:rPr>
          <w:rFonts w:ascii="Open Sans" w:hAnsi="Open Sans" w:cs="Open Sans"/>
          <w:b/>
          <w:color w:val="59595B"/>
        </w:rPr>
        <w:t>HR</w:t>
      </w:r>
      <w:r>
        <w:rPr>
          <w:rFonts w:ascii="Open Sans" w:hAnsi="Open Sans" w:cs="Open Sans"/>
          <w:color w:val="59595B"/>
        </w:rPr>
        <w:t xml:space="preserve"> </w:t>
      </w:r>
      <w:r>
        <w:rPr>
          <w:rFonts w:ascii="Open Sans" w:hAnsi="Open Sans" w:cs="Open Sans"/>
          <w:b/>
          <w:color w:val="59595B"/>
        </w:rPr>
        <w:t>Finance</w:t>
        <w:br/>
      </w:r>
      <w:r>
        <w:rPr>
          <w:rFonts w:ascii="Open Sans" w:hAnsi="Open Sans" w:cs="Open Sans"/>
          <w:color w:val="59595B"/>
        </w:rPr>
        <w:t>Name: &lt;Shelja Mehta&gt; Name: &lt;Finance Head&gt;</w:t>
        <w:br/>
      </w:r>
      <w:r>
        <w:rPr>
          <w:rFonts w:ascii="Open Sans" w:hAnsi="Open Sans" w:cs="Open Sans"/>
          <w:color w:val="59595B"/>
        </w:rPr>
        <w:t xml:space="preserve">Date: </w:t>
      </w:r>
      <w:r>
        <w:rPr>
          <w:rFonts w:ascii="Open Sans" w:hAnsi="Open Sans" w:cs="Open Sans"/>
          <w:b/>
          <w:i/>
          <w:color w:val="59595B"/>
        </w:rPr>
        <w:t>_</w:t>
      </w:r>
      <w:r>
        <w:rPr>
          <w:rFonts w:ascii="Open Sans" w:hAnsi="Open Sans" w:cs="Open Sans"/>
          <w:color w:val="59595B"/>
        </w:rPr>
        <w:t xml:space="preserve"> Date: </w:t>
      </w:r>
      <w:r>
        <w:rPr>
          <w:rFonts w:ascii="Open Sans" w:hAnsi="Open Sans" w:cs="Open Sans"/>
          <w:b/>
          <w:i/>
          <w:color w:val="59595B"/>
        </w:rPr>
        <w:t>_</w:t>
      </w:r>
    </w:p>
    <w:sectPr w:rsidR="00FC693F" w:rsidRPr="0006063C" w:rsidSect="00034616">
      <w:headerReference w:type="default" r:id="rId9"/>
      <w:footerReference w:type="default" r:id="rId10"/>
      <w:pgSz w:w="12240" w:h="15840"/>
      <w:pgMar w:top="1872" w:right="1224" w:bottom="1440"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10" w:type="dxa"/>
            <w:right w:w="0" w:type="dxa"/>
            <w:bottom w:w="10" w:type="dxa"/>
            <w:left w:w="0" w:type="dxa"/>
          </w:tcMar>
          <w:shd w:val="clear" w:color="auto" w:fill="006DB6"/>
        </w:tcPr>
        <w:p>
          <w:pPr>
            <w:spacing w:before="0" w:after="0"/>
          </w:pPr>
        </w:p>
      </w:tc>
    </w:tr>
  </w:tbl>
  <w:p>
    <w:pPr>
      <w:spacing w:before="80" w:after="0"/>
      <w:jc w:val="center"/>
    </w:pPr>
    <w:r>
      <w:rPr>
        <w:rFonts w:ascii="Open Sans" w:hAnsi="Open Sans" w:cs="Open Sans"/>
        <w:b w:val="0"/>
        <w:color w:val="59595B"/>
        <w:sz w:val="16"/>
      </w:rPr>
      <w:t>Technijian  |  Managed IT  •  Cybersecurity  •  Cloud  •  AI Development</w:t>
    </w:r>
  </w:p>
  <w:p>
    <w:pPr>
      <w:spacing w:before="0" w:after="0"/>
      <w:jc w:val="center"/>
    </w:pPr>
    <w:r>
      <w:rPr>
        <w:rFonts w:ascii="Open Sans" w:hAnsi="Open Sans" w:cs="Open Sans"/>
        <w:b w:val="0"/>
        <w:color w:val="E9ECEF"/>
        <w:sz w:val="14"/>
      </w:rPr>
      <w:t>Confidential — Internal HR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3168"/>
      <w:gridCol w:w="6192"/>
    </w:tblGrid>
    <w:tr>
      <w:tc>
        <w:tcPr>
          <w:tcW w:type="dxa" w:w="3168"/>
          <w:tcBorders>
            <w:top w:val="nil"/>
            <w:left w:val="nil"/>
            <w:bottom w:val="nil"/>
            <w:right w:val="nil"/>
          </w:tcBorders>
          <w:tcMar>
            <w:top w:w="0" w:type="dxa"/>
            <w:right w:w="0" w:type="dxa"/>
            <w:bottom w:w="0" w:type="dxa"/>
            <w:left w:w="0" w:type="dxa"/>
          </w:tcMar>
          <w:vAlign w:val="center"/>
        </w:tcPr>
        <w:p>
          <w:pPr>
            <w:jc w:val="left"/>
          </w:pPr>
          <w:r>
            <w:drawing>
              <wp:inline xmlns:a="http://schemas.openxmlformats.org/drawingml/2006/main" xmlns:pic="http://schemas.openxmlformats.org/drawingml/2006/picture">
                <wp:extent cx="1737360" cy="3619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737360" cy="361950"/>
                        </a:xfrm>
                        <a:prstGeom prst="rect"/>
                      </pic:spPr>
                    </pic:pic>
                  </a:graphicData>
                </a:graphic>
              </wp:inline>
            </w:drawing>
          </w:r>
        </w:p>
      </w:tc>
      <w:tc>
        <w:tcPr>
          <w:tcW w:type="dxa" w:w="6192"/>
          <w:tcBorders>
            <w:top w:val="nil"/>
            <w:left w:val="nil"/>
            <w:bottom w:val="nil"/>
            <w:right w:val="nil"/>
          </w:tcBorders>
          <w:tcMar>
            <w:top w:w="0" w:type="dxa"/>
            <w:right w:w="0" w:type="dxa"/>
            <w:bottom w:w="0" w:type="dxa"/>
            <w:left w:w="0" w:type="dxa"/>
          </w:tcMar>
          <w:vAlign w:val="center"/>
        </w:tcPr>
        <w:p>
          <w:pPr>
            <w:spacing w:before="0" w:after="0"/>
            <w:jc w:val="right"/>
          </w:pPr>
          <w:r>
            <w:rPr>
              <w:rFonts w:ascii="Open Sans" w:hAnsi="Open Sans" w:cs="Open Sans"/>
              <w:b/>
              <w:color w:val="1A1A2E"/>
              <w:sz w:val="18"/>
            </w:rPr>
            <w:t>Technijian IT Services Pvt. Ltd.</w:t>
          </w:r>
        </w:p>
        <w:p>
          <w:pPr>
            <w:spacing w:before="0" w:after="0"/>
            <w:jc w:val="right"/>
          </w:pPr>
          <w:r>
            <w:rPr>
              <w:rFonts w:ascii="Open Sans" w:hAnsi="Open Sans" w:cs="Open Sans"/>
              <w:b w:val="0"/>
              <w:color w:val="59595B"/>
              <w:sz w:val="16"/>
            </w:rPr>
            <w:t>Plot No. 07, 1st Floor, Panchkula IT Park, Panchkula, Haryana 134109</w:t>
          </w:r>
        </w:p>
        <w:p>
          <w:pPr>
            <w:spacing w:before="0" w:after="0"/>
            <w:jc w:val="right"/>
          </w:pPr>
          <w:r>
            <w:rPr>
              <w:rFonts w:ascii="Open Sans" w:hAnsi="Open Sans" w:cs="Open Sans"/>
              <w:b w:val="0"/>
              <w:color w:val="59595B"/>
              <w:sz w:val="16"/>
            </w:rPr>
            <w:t>hr-india@technijian.com</w:t>
          </w:r>
          <w:r>
            <w:rPr>
              <w:rFonts w:ascii="Open Sans" w:hAnsi="Open Sans" w:cs="Open Sans"/>
              <w:b w:val="0"/>
              <w:color w:val="E9ECEF"/>
              <w:sz w:val="16"/>
            </w:rPr>
            <w:t xml:space="preserve">   |   </w:t>
          </w:r>
          <w:r>
            <w:rPr>
              <w:rFonts w:ascii="Open Sans" w:hAnsi="Open Sans" w:cs="Open Sans"/>
              <w:b w:val="0"/>
              <w:color w:val="006DB6"/>
              <w:sz w:val="16"/>
            </w:rPr>
            <w:t>technijian.com</w:t>
          </w:r>
        </w:p>
      </w:tc>
    </w:tr>
  </w:tbl>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20" w:type="dxa"/>
            <w:right w:w="0" w:type="dxa"/>
            <w:bottom w:w="20" w:type="dxa"/>
            <w:left w:w="0" w:type="dxa"/>
          </w:tcMar>
          <w:shd w:val="clear" w:color="auto" w:fill="F67D4B"/>
        </w:tcPr>
        <w:p>
          <w:pPr>
            <w:spacing w:before="0" w:after="0"/>
          </w:pPr>
        </w:p>
      </w:tc>
    </w:tr>
  </w:tbl>
  <w:p>
    <w:pPr>
      <w:spacing w:before="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s="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006DB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Open Sans" w:hAnsi="Open Sans"/>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