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p>
    <w:p>
      <w:pPr>
        <w:spacing w:before="0" w:after="0" w:line="276" w:lineRule="auto"/>
      </w:pPr>
    </w:p>
    <w:p>
      <w:pPr>
        <w:spacing w:before="0" w:after="0" w:line="276" w:lineRule="auto"/>
      </w:pPr>
    </w:p>
    <w:p>
      <w:pPr>
        <w:spacing w:before="0" w:after="0" w:line="276" w:lineRule="auto"/>
      </w:pPr>
    </w:p>
    <w:p>
      <w:pPr>
        <w:pStyle w:val="CustomTitle"/>
        <w:jc w:val="left"/>
      </w:pPr>
      <w:r>
        <w:rPr>
          <w:rFonts w:ascii="Calibri" w:hAnsi="Calibri" w:cs="Calibri"/>
          <w:b/>
          <w:i w:val="0"/>
          <w:color w:val="17365D"/>
          <w:sz w:val="48"/>
        </w:rPr>
        <w:t>Aranda Network Assessment Proposal</w:t>
      </w:r>
    </w:p>
    <w:p>
      <w:pPr>
        <w:pStyle w:val="CustomSubtitle"/>
        <w:jc w:val="left"/>
      </w:pPr>
      <w:r>
        <w:rPr>
          <w:rFonts w:ascii="Calibri" w:hAnsi="Calibri" w:cs="Calibri"/>
          <w:b w:val="0"/>
          <w:i w:val="0"/>
          <w:color w:val="4F81BD"/>
          <w:sz w:val="25"/>
        </w:rPr>
        <w:t>Client-facing scope, methodology, required access, and Meraki data collection requirements</w:t>
      </w:r>
    </w:p>
    <w:tbl>
      <w:tblPr>
        <w:tblW w:type="auto" w:w="0"/>
        <w:jc w:val="left"/>
        <w:tblLayout w:type="fixed"/>
        <w:tblLook w:firstColumn="1" w:firstRow="1" w:lastColumn="0" w:lastRow="0" w:noHBand="0" w:noVBand="1" w:val="04A0"/>
      </w:tblPr>
      <w:tblGrid>
        <w:gridCol w:w="9936"/>
      </w:tblGrid>
      <w:tr>
        <w:tc>
          <w:tcPr>
            <w:tcW w:type="dxa" w:w="9504"/>
            <w:shd w:fill="D9EAF7" w:color="auto" w:val="clear"/>
            <w:tcBorders>
              <w:top w:val="single" w:sz="0" w:color="D9EAF7"/>
              <w:bottom w:val="single" w:sz="0" w:color="D9EAF7"/>
            </w:tcBorders>
          </w:tcPr>
          <w:p>
            <w:r/>
          </w:p>
        </w:tc>
      </w:tr>
    </w:tbl>
    <w:p/>
    <w:tbl>
      <w:tblPr>
        <w:tblW w:type="auto" w:w="0"/>
        <w:jc w:val="left"/>
        <w:tblLayout w:type="fixed"/>
        <w:tblLook w:firstColumn="1" w:firstRow="1" w:lastColumn="0" w:lastRow="0" w:noHBand="0" w:noVBand="1" w:val="04A0"/>
      </w:tblPr>
      <w:tblGrid>
        <w:gridCol w:w="4968"/>
        <w:gridCol w:w="4968"/>
      </w:tblGrid>
      <w:tr>
        <w:tc>
          <w:tcPr>
            <w:tcW w:type="dxa" w:w="2376"/>
            <w:vAlign w:val="center"/>
            <w:tcMar>
              <w:top w:w="80" w:type="dxa"/>
              <w:start w:w="90" w:type="dxa"/>
              <w:bottom w:w="80" w:type="dxa"/>
              <w:end w:w="90" w:type="dxa"/>
            </w:tcMar>
            <w:tcBorders>
              <w:start w:val="single" w:sz="6" w:color="D9E2F3"/>
              <w:top w:val="single" w:sz="6" w:color="D9E2F3"/>
              <w:end w:val="single" w:sz="6" w:color="D9E2F3"/>
              <w:bottom w:val="single" w:sz="6" w:color="D9E2F3"/>
            </w:tcBorders>
            <w:shd w:fill="EDF3F8" w:color="auto" w:val="clear"/>
          </w:tcPr>
          <w:p>
            <w:pPr>
              <w:spacing w:before="0" w:after="0" w:line="264" w:lineRule="auto"/>
              <w:jc w:val="left"/>
            </w:pPr>
            <w:r>
              <w:rPr>
                <w:rFonts w:ascii="Calibri" w:hAnsi="Calibri" w:cs="Calibri"/>
                <w:b/>
                <w:i w:val="0"/>
                <w:color w:val="17365D"/>
                <w:sz w:val="19"/>
              </w:rPr>
              <w:t>Document</w:t>
            </w:r>
          </w:p>
        </w:tc>
        <w:tc>
          <w:tcPr>
            <w:tcW w:type="dxa" w:w="6984"/>
            <w:vAlign w:val="center"/>
            <w:tcMar>
              <w:top w:w="80" w:type="dxa"/>
              <w:start w:w="90" w:type="dxa"/>
              <w:bottom w:w="80" w:type="dxa"/>
              <w:end w:w="90" w:type="dxa"/>
            </w:tcMar>
            <w:tcBorders>
              <w:start w:val="single" w:sz="6" w:color="D9E2F3"/>
              <w:top w:val="single" w:sz="6" w:color="D9E2F3"/>
              <w:end w:val="single" w:sz="6" w:color="D9E2F3"/>
              <w:bottom w:val="single" w:sz="6" w:color="D9E2F3"/>
            </w:tcBorders>
          </w:tcPr>
          <w:p>
            <w:pPr>
              <w:spacing w:before="0" w:after="0" w:line="264" w:lineRule="auto"/>
              <w:jc w:val="left"/>
            </w:pPr>
            <w:r>
              <w:rPr>
                <w:rFonts w:ascii="Calibri" w:hAnsi="Calibri" w:cs="Calibri"/>
                <w:b w:val="0"/>
                <w:i w:val="0"/>
                <w:color w:val="222222"/>
                <w:sz w:val="19"/>
              </w:rPr>
              <w:t>Client-facing proposal</w:t>
            </w:r>
          </w:p>
        </w:tc>
      </w:tr>
      <w:tr>
        <w:tc>
          <w:tcPr>
            <w:tcW w:type="dxa" w:w="2376"/>
            <w:vAlign w:val="center"/>
            <w:tcMar>
              <w:top w:w="80" w:type="dxa"/>
              <w:start w:w="90" w:type="dxa"/>
              <w:bottom w:w="80" w:type="dxa"/>
              <w:end w:w="90" w:type="dxa"/>
            </w:tcMar>
            <w:tcBorders>
              <w:start w:val="single" w:sz="6" w:color="D9E2F3"/>
              <w:top w:val="single" w:sz="6" w:color="D9E2F3"/>
              <w:end w:val="single" w:sz="6" w:color="D9E2F3"/>
              <w:bottom w:val="single" w:sz="6" w:color="D9E2F3"/>
            </w:tcBorders>
            <w:shd w:fill="EDF3F8" w:color="auto" w:val="clear"/>
          </w:tcPr>
          <w:p>
            <w:pPr>
              <w:spacing w:before="0" w:after="0" w:line="264" w:lineRule="auto"/>
              <w:jc w:val="left"/>
            </w:pPr>
            <w:r>
              <w:rPr>
                <w:rFonts w:ascii="Calibri" w:hAnsi="Calibri" w:cs="Calibri"/>
                <w:b/>
                <w:i w:val="0"/>
                <w:color w:val="17365D"/>
                <w:sz w:val="19"/>
              </w:rPr>
              <w:t>Prepared for</w:t>
            </w:r>
          </w:p>
        </w:tc>
        <w:tc>
          <w:tcPr>
            <w:tcW w:type="dxa" w:w="6984"/>
            <w:vAlign w:val="center"/>
            <w:tcMar>
              <w:top w:w="80" w:type="dxa"/>
              <w:start w:w="90" w:type="dxa"/>
              <w:bottom w:w="80" w:type="dxa"/>
              <w:end w:w="90" w:type="dxa"/>
            </w:tcMar>
            <w:tcBorders>
              <w:start w:val="single" w:sz="6" w:color="D9E2F3"/>
              <w:top w:val="single" w:sz="6" w:color="D9E2F3"/>
              <w:end w:val="single" w:sz="6" w:color="D9E2F3"/>
              <w:bottom w:val="single" w:sz="6" w:color="D9E2F3"/>
            </w:tcBorders>
          </w:tcPr>
          <w:p>
            <w:pPr>
              <w:spacing w:before="0" w:after="0" w:line="264" w:lineRule="auto"/>
              <w:jc w:val="left"/>
            </w:pPr>
            <w:r>
              <w:rPr>
                <w:rFonts w:ascii="Calibri" w:hAnsi="Calibri" w:cs="Calibri"/>
                <w:b w:val="0"/>
                <w:i w:val="0"/>
                <w:color w:val="222222"/>
                <w:sz w:val="19"/>
              </w:rPr>
              <w:t>Internal executive review / external client delivery</w:t>
            </w:r>
          </w:p>
        </w:tc>
      </w:tr>
      <w:tr>
        <w:tc>
          <w:tcPr>
            <w:tcW w:type="dxa" w:w="2376"/>
            <w:vAlign w:val="center"/>
            <w:tcMar>
              <w:top w:w="80" w:type="dxa"/>
              <w:start w:w="90" w:type="dxa"/>
              <w:bottom w:w="80" w:type="dxa"/>
              <w:end w:w="90" w:type="dxa"/>
            </w:tcMar>
            <w:tcBorders>
              <w:start w:val="single" w:sz="6" w:color="D9E2F3"/>
              <w:top w:val="single" w:sz="6" w:color="D9E2F3"/>
              <w:end w:val="single" w:sz="6" w:color="D9E2F3"/>
              <w:bottom w:val="single" w:sz="6" w:color="D9E2F3"/>
            </w:tcBorders>
            <w:shd w:fill="EDF3F8" w:color="auto" w:val="clear"/>
          </w:tcPr>
          <w:p>
            <w:pPr>
              <w:spacing w:before="0" w:after="0" w:line="264" w:lineRule="auto"/>
              <w:jc w:val="left"/>
            </w:pPr>
            <w:r>
              <w:rPr>
                <w:rFonts w:ascii="Calibri" w:hAnsi="Calibri" w:cs="Calibri"/>
                <w:b/>
                <w:i w:val="0"/>
                <w:color w:val="17365D"/>
                <w:sz w:val="19"/>
              </w:rPr>
              <w:t>Prepared on</w:t>
            </w:r>
          </w:p>
        </w:tc>
        <w:tc>
          <w:tcPr>
            <w:tcW w:type="dxa" w:w="6984"/>
            <w:vAlign w:val="center"/>
            <w:tcMar>
              <w:top w:w="80" w:type="dxa"/>
              <w:start w:w="90" w:type="dxa"/>
              <w:bottom w:w="80" w:type="dxa"/>
              <w:end w:w="90" w:type="dxa"/>
            </w:tcMar>
            <w:tcBorders>
              <w:start w:val="single" w:sz="6" w:color="D9E2F3"/>
              <w:top w:val="single" w:sz="6" w:color="D9E2F3"/>
              <w:end w:val="single" w:sz="6" w:color="D9E2F3"/>
              <w:bottom w:val="single" w:sz="6" w:color="D9E2F3"/>
            </w:tcBorders>
          </w:tcPr>
          <w:p>
            <w:pPr>
              <w:spacing w:before="0" w:after="0" w:line="264" w:lineRule="auto"/>
              <w:jc w:val="left"/>
            </w:pPr>
            <w:r>
              <w:rPr>
                <w:rFonts w:ascii="Calibri" w:hAnsi="Calibri" w:cs="Calibri"/>
                <w:b w:val="0"/>
                <w:i w:val="0"/>
                <w:color w:val="222222"/>
                <w:sz w:val="19"/>
              </w:rPr>
              <w:t>April 9, 2026</w:t>
            </w:r>
          </w:p>
        </w:tc>
      </w:tr>
      <w:tr>
        <w:tc>
          <w:tcPr>
            <w:tcW w:type="dxa" w:w="2376"/>
            <w:vAlign w:val="center"/>
            <w:tcMar>
              <w:top w:w="80" w:type="dxa"/>
              <w:start w:w="90" w:type="dxa"/>
              <w:bottom w:w="80" w:type="dxa"/>
              <w:end w:w="90" w:type="dxa"/>
            </w:tcMar>
            <w:tcBorders>
              <w:start w:val="single" w:sz="6" w:color="D9E2F3"/>
              <w:top w:val="single" w:sz="6" w:color="D9E2F3"/>
              <w:end w:val="single" w:sz="6" w:color="D9E2F3"/>
              <w:bottom w:val="single" w:sz="6" w:color="D9E2F3"/>
            </w:tcBorders>
            <w:shd w:fill="EDF3F8" w:color="auto" w:val="clear"/>
          </w:tcPr>
          <w:p>
            <w:pPr>
              <w:spacing w:before="0" w:after="0" w:line="264" w:lineRule="auto"/>
              <w:jc w:val="left"/>
            </w:pPr>
            <w:r>
              <w:rPr>
                <w:rFonts w:ascii="Calibri" w:hAnsi="Calibri" w:cs="Calibri"/>
                <w:b/>
                <w:i w:val="0"/>
                <w:color w:val="17365D"/>
                <w:sz w:val="19"/>
              </w:rPr>
              <w:t>Status</w:t>
            </w:r>
          </w:p>
        </w:tc>
        <w:tc>
          <w:tcPr>
            <w:tcW w:type="dxa" w:w="6984"/>
            <w:vAlign w:val="center"/>
            <w:tcMar>
              <w:top w:w="80" w:type="dxa"/>
              <w:start w:w="90" w:type="dxa"/>
              <w:bottom w:w="80" w:type="dxa"/>
              <w:end w:w="90" w:type="dxa"/>
            </w:tcMar>
            <w:tcBorders>
              <w:start w:val="single" w:sz="6" w:color="D9E2F3"/>
              <w:top w:val="single" w:sz="6" w:color="D9E2F3"/>
              <w:end w:val="single" w:sz="6" w:color="D9E2F3"/>
              <w:bottom w:val="single" w:sz="6" w:color="D9E2F3"/>
            </w:tcBorders>
          </w:tcPr>
          <w:p>
            <w:pPr>
              <w:spacing w:before="0" w:after="0" w:line="264" w:lineRule="auto"/>
              <w:jc w:val="left"/>
            </w:pPr>
            <w:r>
              <w:rPr>
                <w:rFonts w:ascii="Calibri" w:hAnsi="Calibri" w:cs="Calibri"/>
                <w:b w:val="0"/>
                <w:i w:val="0"/>
                <w:color w:val="222222"/>
                <w:sz w:val="19"/>
              </w:rPr>
              <w:t>Ready to provide to client; pricing and remediation labor can be issued separately.</w:t>
            </w:r>
          </w:p>
        </w:tc>
      </w:tr>
      <w:tr>
        <w:tc>
          <w:tcPr>
            <w:tcW w:type="dxa" w:w="2376"/>
            <w:vAlign w:val="center"/>
            <w:tcMar>
              <w:top w:w="80" w:type="dxa"/>
              <w:start w:w="90" w:type="dxa"/>
              <w:bottom w:w="80" w:type="dxa"/>
              <w:end w:w="90" w:type="dxa"/>
            </w:tcMar>
            <w:tcBorders>
              <w:start w:val="single" w:sz="6" w:color="D9E2F3"/>
              <w:top w:val="single" w:sz="6" w:color="D9E2F3"/>
              <w:end w:val="single" w:sz="6" w:color="D9E2F3"/>
              <w:bottom w:val="single" w:sz="6" w:color="D9E2F3"/>
            </w:tcBorders>
            <w:shd w:fill="EDF3F8" w:color="auto" w:val="clear"/>
          </w:tcPr>
          <w:p>
            <w:pPr>
              <w:spacing w:before="0" w:after="0" w:line="264" w:lineRule="auto"/>
              <w:jc w:val="left"/>
            </w:pPr>
            <w:r>
              <w:rPr>
                <w:rFonts w:ascii="Calibri" w:hAnsi="Calibri" w:cs="Calibri"/>
                <w:b/>
                <w:i w:val="0"/>
                <w:color w:val="17365D"/>
                <w:sz w:val="19"/>
              </w:rPr>
              <w:t>Purpose</w:t>
            </w:r>
          </w:p>
        </w:tc>
        <w:tc>
          <w:tcPr>
            <w:tcW w:type="dxa" w:w="6984"/>
            <w:vAlign w:val="center"/>
            <w:tcMar>
              <w:top w:w="80" w:type="dxa"/>
              <w:start w:w="90" w:type="dxa"/>
              <w:bottom w:w="80" w:type="dxa"/>
              <w:end w:w="90" w:type="dxa"/>
            </w:tcMar>
            <w:tcBorders>
              <w:start w:val="single" w:sz="6" w:color="D9E2F3"/>
              <w:top w:val="single" w:sz="6" w:color="D9E2F3"/>
              <w:end w:val="single" w:sz="6" w:color="D9E2F3"/>
              <w:bottom w:val="single" w:sz="6" w:color="D9E2F3"/>
            </w:tcBorders>
          </w:tcPr>
          <w:p>
            <w:pPr>
              <w:spacing w:before="0" w:after="0" w:line="264" w:lineRule="auto"/>
              <w:jc w:val="left"/>
            </w:pPr>
            <w:r>
              <w:rPr>
                <w:rFonts w:ascii="Calibri" w:hAnsi="Calibri" w:cs="Calibri"/>
                <w:b w:val="0"/>
                <w:i w:val="0"/>
                <w:color w:val="222222"/>
                <w:sz w:val="19"/>
              </w:rPr>
              <w:t>Define scope, approach, required access, and deliverables for a formal network assessment.</w:t>
            </w:r>
          </w:p>
        </w:tc>
      </w:tr>
    </w:tbl>
    <w:p/>
    <w:tbl>
      <w:tblPr>
        <w:tblW w:type="auto" w:w="0"/>
        <w:jc w:val="left"/>
        <w:tblLayout w:type="fixed"/>
        <w:tblLook w:firstColumn="1" w:firstRow="1" w:lastColumn="0" w:lastRow="0" w:noHBand="0" w:noVBand="1" w:val="04A0"/>
      </w:tblPr>
      <w:tblGrid>
        <w:gridCol w:w="9936"/>
      </w:tblGrid>
      <w:tr>
        <w:tc>
          <w:tcPr>
            <w:tcW w:type="dxa" w:w="9504"/>
            <w:shd w:fill="F4F6F8" w:color="auto" w:val="clear"/>
            <w:tcBorders>
              <w:start w:val="single" w:sz="10" w:color="D0D7DE"/>
              <w:top w:val="single" w:sz="10" w:color="D0D7DE"/>
              <w:end w:val="single" w:sz="10" w:color="D0D7DE"/>
              <w:bottom w:val="single" w:sz="10" w:color="D0D7DE"/>
            </w:tcBorders>
            <w:tcMar>
              <w:top w:w="90" w:type="dxa"/>
              <w:start w:w="100" w:type="dxa"/>
              <w:bottom w:w="90" w:type="dxa"/>
              <w:end w:w="100" w:type="dxa"/>
            </w:tcMar>
          </w:tcPr>
          <w:p>
            <w:pPr>
              <w:spacing w:before="0" w:after="0" w:line="276" w:lineRule="auto"/>
            </w:pPr>
            <w:r>
              <w:rPr>
                <w:rFonts w:ascii="Calibri" w:hAnsi="Calibri" w:cs="Calibri"/>
                <w:b/>
                <w:i w:val="0"/>
                <w:color w:val="555555"/>
                <w:sz w:val="20"/>
              </w:rPr>
              <w:t xml:space="preserve">Confidentiality note: </w:t>
            </w:r>
            <w:r>
              <w:rPr>
                <w:rFonts w:ascii="Calibri" w:hAnsi="Calibri" w:cs="Calibri"/>
                <w:b w:val="0"/>
                <w:i w:val="0"/>
                <w:color w:val="555555"/>
                <w:sz w:val="20"/>
              </w:rPr>
              <w:t>This proposal is designed to be shared externally. It intentionally separates statement-of-work content from the internal technical findings register.</w:t>
            </w:r>
          </w:p>
        </w:tc>
      </w:tr>
    </w:tbl>
    <w:p>
      <w:pPr>
        <w:spacing w:after="20"/>
      </w:pPr>
    </w:p>
    <w:p>
      <w:r>
        <w:br w:type="page"/>
      </w:r>
    </w:p>
    <w:p>
      <w:pPr>
        <w:pStyle w:val="SectionHeading"/>
        <w:jc w:val="left"/>
      </w:pPr>
      <w:r>
        <w:rPr>
          <w:rFonts w:ascii="Calibri" w:hAnsi="Calibri" w:cs="Calibri"/>
          <w:b/>
          <w:i w:val="0"/>
          <w:color w:val="17365D"/>
          <w:sz w:val="30"/>
        </w:rPr>
        <w:t>1. Executive overview</w:t>
      </w:r>
    </w:p>
    <w:tbl>
      <w:tblPr>
        <w:tblW w:type="auto" w:w="0"/>
        <w:jc w:val="left"/>
        <w:tblLayout w:type="fixed"/>
        <w:tblLook w:firstColumn="1" w:firstRow="1" w:lastColumn="0" w:lastRow="0" w:noHBand="0" w:noVBand="1" w:val="04A0"/>
      </w:tblPr>
      <w:tblGrid>
        <w:gridCol w:w="9936"/>
      </w:tblGrid>
      <w:tr>
        <w:tc>
          <w:tcPr>
            <w:tcW w:type="dxa" w:w="9504"/>
            <w:shd w:fill="EEF5FB" w:color="auto" w:val="clear"/>
            <w:tcBorders>
              <w:start w:val="single" w:sz="10" w:color="B7CEE8"/>
              <w:top w:val="single" w:sz="10" w:color="B7CEE8"/>
              <w:end w:val="single" w:sz="10" w:color="B7CEE8"/>
              <w:bottom w:val="single" w:sz="10" w:color="B7CEE8"/>
            </w:tcBorders>
            <w:tcMar>
              <w:top w:w="90" w:type="dxa"/>
              <w:start w:w="100" w:type="dxa"/>
              <w:bottom w:w="90" w:type="dxa"/>
              <w:end w:w="100" w:type="dxa"/>
            </w:tcMar>
          </w:tcPr>
          <w:p>
            <w:pPr>
              <w:spacing w:before="0" w:after="0" w:line="276" w:lineRule="auto"/>
            </w:pPr>
            <w:r>
              <w:rPr>
                <w:rFonts w:ascii="Calibri" w:hAnsi="Calibri" w:cs="Calibri"/>
                <w:b/>
                <w:i w:val="0"/>
                <w:color w:val="17365D"/>
                <w:sz w:val="20"/>
              </w:rPr>
              <w:t xml:space="preserve">Recommendation: </w:t>
            </w:r>
            <w:r>
              <w:rPr>
                <w:rFonts w:ascii="Calibri" w:hAnsi="Calibri" w:cs="Calibri"/>
                <w:b w:val="0"/>
                <w:i w:val="0"/>
                <w:color w:val="17365D"/>
                <w:sz w:val="20"/>
              </w:rPr>
              <w:t>Based on the supplied topology, the non-Meraki switch exports, and the April 9 clarification that the switching estate is primarily Layer 2 while routing is believed to reside on the Meraki MX firewall, the recommended engagement is a focused network assessment that validates segmentation, management-plane security, configuration hygiene, and operational resilience across the Meraki MX/MS layer and the downstream access switches.</w:t>
            </w:r>
          </w:p>
        </w:tc>
      </w:tr>
    </w:tbl>
    <w:p>
      <w:pPr>
        <w:spacing w:after="20"/>
      </w:pPr>
    </w:p>
    <w:p>
      <w:pPr>
        <w:spacing w:before="0" w:after="80" w:line="283" w:lineRule="auto"/>
      </w:pPr>
      <w:r>
        <w:rPr>
          <w:rFonts w:ascii="Calibri" w:hAnsi="Calibri" w:cs="Calibri"/>
          <w:b w:val="0"/>
          <w:i w:val="0"/>
          <w:color w:val="222222"/>
          <w:sz w:val="21"/>
        </w:rPr>
        <w:t>The engagement should be positioned as a configuration-driven assessment with an executive readout, not as a broad infrastructure overhaul. The core objective is to determine whether the client's current design is secure, supportable, and aligned to business segmentation requirements, then provide a prioritized remediation roadmap.</w:t>
      </w:r>
    </w:p>
    <w:p>
      <w:pPr>
        <w:pStyle w:val="SectionHeading"/>
        <w:jc w:val="left"/>
      </w:pPr>
      <w:r>
        <w:rPr>
          <w:rFonts w:ascii="Calibri" w:hAnsi="Calibri" w:cs="Calibri"/>
          <w:b/>
          <w:i w:val="0"/>
          <w:color w:val="17365D"/>
          <w:sz w:val="30"/>
        </w:rPr>
        <w:t>2. Proposed scope of work</w:t>
      </w:r>
    </w:p>
    <w:tbl>
      <w:tblPr>
        <w:tblW w:type="auto" w:w="0"/>
        <w:jc w:val="left"/>
        <w:tblLayout w:type="fixed"/>
        <w:tblLook w:firstColumn="1" w:firstRow="1" w:lastColumn="0" w:lastRow="0" w:noHBand="0" w:noVBand="1" w:val="04A0"/>
      </w:tblPr>
      <w:tblGrid>
        <w:gridCol w:w="4968"/>
        <w:gridCol w:w="4968"/>
      </w:tblGrid>
      <w:tr>
        <w:trPr>
          <w:tblHeader w:val="true"/>
        </w:trPr>
        <w:tc>
          <w:tcPr>
            <w:tcW w:type="dxa" w:w="2808"/>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Workstream</w:t>
            </w:r>
          </w:p>
        </w:tc>
        <w:tc>
          <w:tcPr>
            <w:tcW w:type="dxa" w:w="6696"/>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Description</w:t>
            </w:r>
          </w:p>
        </w:tc>
      </w:tr>
      <w:tr>
        <w:tc>
          <w:tcPr>
            <w:tcW w:type="dxa" w:w="2808"/>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Meraki MX firewall review</w:t>
            </w:r>
          </w:p>
        </w:tc>
        <w:tc>
          <w:tcPr>
            <w:tcW w:type="dxa" w:w="6696"/>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Validate routing ownership, VLAN gateway design, L3/L7 firewall rules, NAT, DHCP, WAN/uplink posture, and any VPN/static-route dependencies.</w:t>
            </w:r>
          </w:p>
        </w:tc>
      </w:tr>
      <w:tr>
        <w:tc>
          <w:tcPr>
            <w:tcW w:type="dxa" w:w="280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Meraki MS switch review</w:t>
            </w:r>
          </w:p>
        </w:tc>
        <w:tc>
          <w:tcPr>
            <w:tcW w:type="dxa" w:w="6696"/>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Validate core and access switching posture in Dashboard/API, including switch settings, port configurations, link aggregations, access policies, ACLs, DHCP/DAI posture, and management-plane exposure.</w:t>
            </w:r>
          </w:p>
        </w:tc>
      </w:tr>
      <w:tr>
        <w:tc>
          <w:tcPr>
            <w:tcW w:type="dxa" w:w="2808"/>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Non-Meraki switch review</w:t>
            </w:r>
          </w:p>
        </w:tc>
        <w:tc>
          <w:tcPr>
            <w:tcW w:type="dxa" w:w="6696"/>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Review provided switch exports for VLAN design, trunking, local admin posture, management IP exposure, STP behavior, and configuration hygiene.</w:t>
            </w:r>
          </w:p>
        </w:tc>
      </w:tr>
      <w:tr>
        <w:tc>
          <w:tcPr>
            <w:tcW w:type="dxa" w:w="280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Wireless and SSID alignment</w:t>
            </w:r>
          </w:p>
        </w:tc>
        <w:tc>
          <w:tcPr>
            <w:tcW w:type="dxa" w:w="6696"/>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Confirm that SSID-to-VLAN mapping, guest isolation, office wireless access, and AP uplink configuration align with the intended design.</w:t>
            </w:r>
          </w:p>
        </w:tc>
      </w:tr>
      <w:tr>
        <w:tc>
          <w:tcPr>
            <w:tcW w:type="dxa" w:w="2808"/>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Segmentation validation</w:t>
            </w:r>
          </w:p>
        </w:tc>
        <w:tc>
          <w:tcPr>
            <w:tcW w:type="dxa" w:w="6696"/>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Confirm office, guest, services, IoT, printer, and OT networks are segmented as intended and enforced end-to-end.</w:t>
            </w:r>
          </w:p>
        </w:tc>
      </w:tr>
      <w:tr>
        <w:tc>
          <w:tcPr>
            <w:tcW w:type="dxa" w:w="280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Security and hardening baseline</w:t>
            </w:r>
          </w:p>
        </w:tc>
        <w:tc>
          <w:tcPr>
            <w:tcW w:type="dxa" w:w="6696"/>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Identify credential, key, certificate, access-control, logging, and monitoring gaps that increase operational or cyber risk.</w:t>
            </w:r>
          </w:p>
        </w:tc>
      </w:tr>
      <w:tr>
        <w:tc>
          <w:tcPr>
            <w:tcW w:type="dxa" w:w="2808"/>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Documentation and standards</w:t>
            </w:r>
          </w:p>
        </w:tc>
        <w:tc>
          <w:tcPr>
            <w:tcW w:type="dxa" w:w="6696"/>
            <w:vAlign w:val="center"/>
            <w:shd w:fill="F9FBFD"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Produce a normalized device inventory, validated topology notes, configuration baseline, and prioritized remediation roadmap.</w:t>
            </w:r>
          </w:p>
        </w:tc>
      </w:tr>
      <w:tr>
        <w:tc>
          <w:tcPr>
            <w:tcW w:type="dxa" w:w="2808"/>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Executive readout</w:t>
            </w:r>
          </w:p>
        </w:tc>
        <w:tc>
          <w:tcPr>
            <w:tcW w:type="dxa" w:w="6696"/>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Deliver a concise executive summary and a technical worklist suitable for leadership review and remediation planning.</w:t>
            </w:r>
          </w:p>
        </w:tc>
      </w:tr>
    </w:tbl>
    <w:p>
      <w:pPr>
        <w:spacing w:after="40"/>
      </w:pPr>
    </w:p>
    <w:p>
      <w:pPr>
        <w:pStyle w:val="SectionHeading"/>
        <w:jc w:val="left"/>
      </w:pPr>
      <w:r>
        <w:rPr>
          <w:rFonts w:ascii="Calibri" w:hAnsi="Calibri" w:cs="Calibri"/>
          <w:b/>
          <w:i w:val="0"/>
          <w:color w:val="17365D"/>
          <w:sz w:val="30"/>
        </w:rPr>
        <w:t>3. Assessment approach and timeline</w:t>
      </w:r>
    </w:p>
    <w:p>
      <w:pPr>
        <w:spacing w:before="0" w:after="80" w:line="283" w:lineRule="auto"/>
      </w:pPr>
      <w:r>
        <w:rPr>
          <w:rFonts w:ascii="Calibri" w:hAnsi="Calibri" w:cs="Calibri"/>
          <w:b w:val="0"/>
          <w:i w:val="0"/>
          <w:color w:val="222222"/>
          <w:sz w:val="21"/>
        </w:rPr>
        <w:t>A top-tier MSP assessment should be structured in four short phases so the client understands exactly what is being reviewed, what data is required, and when executive results will be presented.</w:t>
      </w:r>
    </w:p>
    <w:tbl>
      <w:tblPr>
        <w:tblW w:type="auto" w:w="0"/>
        <w:jc w:val="left"/>
        <w:tblLayout w:type="fixed"/>
        <w:tblLook w:firstColumn="1" w:firstRow="1" w:lastColumn="0" w:lastRow="0" w:noHBand="0" w:noVBand="1" w:val="04A0"/>
      </w:tblPr>
      <w:tblGrid>
        <w:gridCol w:w="3312"/>
        <w:gridCol w:w="3312"/>
        <w:gridCol w:w="3312"/>
      </w:tblGrid>
      <w:tr>
        <w:trPr>
          <w:tblHeader w:val="true"/>
        </w:trPr>
        <w:tc>
          <w:tcPr>
            <w:tcW w:type="dxa" w:w="3240"/>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Phase</w:t>
            </w:r>
          </w:p>
        </w:tc>
        <w:tc>
          <w:tcPr>
            <w:tcW w:type="dxa" w:w="1800"/>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Typical duration</w:t>
            </w:r>
          </w:p>
        </w:tc>
        <w:tc>
          <w:tcPr>
            <w:tcW w:type="dxa" w:w="4464"/>
            <w:vAlign w:val="center"/>
            <w:shd w:fill="17365D" w:color="auto" w:val="clear"/>
            <w:tcBorders>
              <w:start w:val="single" w:sz="6" w:color="FFFFFF"/>
              <w:top w:val="single" w:sz="6" w:color="FFFFFF"/>
              <w:end w:val="single" w:sz="6" w:color="FFFFFF"/>
              <w:bottom w:val="single" w:sz="6" w:color="FFFFFF"/>
            </w:tcBorders>
            <w:tcMar>
              <w:top w:w="70" w:type="dxa"/>
              <w:start w:w="85" w:type="dxa"/>
              <w:bottom w:w="70" w:type="dxa"/>
              <w:end w:w="85" w:type="dxa"/>
            </w:tcMar>
          </w:tcPr>
          <w:p>
            <w:pPr>
              <w:spacing w:before="0" w:after="0" w:line="252" w:lineRule="auto"/>
              <w:jc w:val="center"/>
            </w:pPr>
            <w:r>
              <w:rPr>
                <w:rFonts w:ascii="Calibri" w:hAnsi="Calibri" w:cs="Calibri"/>
                <w:b/>
                <w:i w:val="0"/>
                <w:color w:val="FFFFFF"/>
                <w:sz w:val="18"/>
              </w:rPr>
              <w:t>Outcome</w:t>
            </w:r>
          </w:p>
        </w:tc>
      </w:tr>
      <w:tr>
        <w:tc>
          <w:tcPr>
            <w:tcW w:type="dxa" w:w="324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Phase 1 - Discovery and access validation</w:t>
            </w:r>
          </w:p>
        </w:tc>
        <w:tc>
          <w:tcPr>
            <w:tcW w:type="dxa" w:w="180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1-2 business days</w:t>
            </w:r>
          </w:p>
        </w:tc>
        <w:tc>
          <w:tcPr>
            <w:tcW w:type="dxa" w:w="4464"/>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Confirm scope, confirm device inventory, verify Meraki dashboard/API access, collect missing data.</w:t>
            </w:r>
          </w:p>
        </w:tc>
      </w:tr>
      <w:tr>
        <w:tc>
          <w:tcPr>
            <w:tcW w:type="dxa" w:w="3240"/>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Phase 2 - Configuration analysis</w:t>
            </w:r>
          </w:p>
        </w:tc>
        <w:tc>
          <w:tcPr>
            <w:tcW w:type="dxa" w:w="1800"/>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2-3 business days</w:t>
            </w:r>
          </w:p>
        </w:tc>
        <w:tc>
          <w:tcPr>
            <w:tcW w:type="dxa" w:w="4464"/>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Review MX/MS and non-Meraki configs, trace segmentation, and identify control gaps.</w:t>
            </w:r>
          </w:p>
        </w:tc>
      </w:tr>
      <w:tr>
        <w:tc>
          <w:tcPr>
            <w:tcW w:type="dxa" w:w="324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Phase 3 - Findings and remediation planning</w:t>
            </w:r>
          </w:p>
        </w:tc>
        <w:tc>
          <w:tcPr>
            <w:tcW w:type="dxa" w:w="1800"/>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1-2 business days</w:t>
            </w:r>
          </w:p>
        </w:tc>
        <w:tc>
          <w:tcPr>
            <w:tcW w:type="dxa" w:w="4464"/>
            <w:vAlign w:val="center"/>
            <w:shd w:fill="FFFFFF"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Draft risk-ranked findings, remediation roadmap, and executive summary.</w:t>
            </w:r>
          </w:p>
        </w:tc>
      </w:tr>
      <w:tr>
        <w:tc>
          <w:tcPr>
            <w:tcW w:type="dxa" w:w="3240"/>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Phase 4 - Readout and next-step planning</w:t>
            </w:r>
          </w:p>
        </w:tc>
        <w:tc>
          <w:tcPr>
            <w:tcW w:type="dxa" w:w="1800"/>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0.5-1 business day</w:t>
            </w:r>
          </w:p>
        </w:tc>
        <w:tc>
          <w:tcPr>
            <w:tcW w:type="dxa" w:w="4464"/>
            <w:vAlign w:val="center"/>
            <w:shd w:fill="F7FAFC" w:color="auto" w:val="clear"/>
            <w:tcBorders>
              <w:start w:val="single" w:sz="4" w:color="D9E2F3"/>
              <w:top w:val="single" w:sz="4" w:color="D9E2F3"/>
              <w:end w:val="single" w:sz="4" w:color="D9E2F3"/>
              <w:bottom w:val="single" w:sz="4" w:color="D9E2F3"/>
            </w:tcBorders>
            <w:tcMar>
              <w:top w:w="65" w:type="dxa"/>
              <w:start w:w="80" w:type="dxa"/>
              <w:bottom w:w="65" w:type="dxa"/>
              <w:end w:w="80" w:type="dxa"/>
            </w:tcMar>
          </w:tcPr>
          <w:p>
            <w:pPr>
              <w:spacing w:before="0" w:after="0" w:line="259" w:lineRule="auto"/>
              <w:jc w:val="left"/>
            </w:pPr>
            <w:r>
              <w:rPr>
                <w:rFonts w:ascii="Calibri" w:hAnsi="Calibri" w:cs="Calibri"/>
                <w:b w:val="0"/>
                <w:i w:val="0"/>
                <w:color w:val="222222"/>
                <w:sz w:val="18"/>
              </w:rPr>
              <w:t>Present results, confirm priorities, and define remediation sequencing.</w:t>
            </w:r>
          </w:p>
        </w:tc>
      </w:tr>
    </w:tbl>
    <w:p>
      <w:pPr>
        <w:spacing w:after="40"/>
      </w:pPr>
    </w:p>
    <w:p>
      <w:pPr>
        <w:pStyle w:val="SectionHeading"/>
        <w:jc w:val="left"/>
      </w:pPr>
      <w:r>
        <w:rPr>
          <w:rFonts w:ascii="Calibri" w:hAnsi="Calibri" w:cs="Calibri"/>
          <w:b/>
          <w:i w:val="0"/>
          <w:color w:val="17365D"/>
          <w:sz w:val="30"/>
        </w:rPr>
        <w:t>4. Client inputs and access required</w:t>
      </w:r>
    </w:p>
    <w:p>
      <w:pPr>
        <w:pStyle w:val="ListBullet"/>
        <w:spacing w:after="40" w:line="269" w:lineRule="auto"/>
        <w:ind w:left="360"/>
      </w:pPr>
      <w:r>
        <w:rPr>
          <w:rFonts w:ascii="Calibri" w:hAnsi="Calibri" w:cs="Calibri"/>
          <w:b w:val="0"/>
          <w:i w:val="0"/>
          <w:color w:val="222222"/>
          <w:sz w:val="20"/>
        </w:rPr>
        <w:t>Read-only Meraki Dashboard access, or a time-limited Meraki API key generated by a named administrator. Do not share shared passwords over email.</w:t>
      </w:r>
    </w:p>
    <w:p>
      <w:pPr>
        <w:pStyle w:val="ListBullet"/>
        <w:spacing w:after="40" w:line="269" w:lineRule="auto"/>
        <w:ind w:left="360"/>
      </w:pPr>
      <w:r>
        <w:rPr>
          <w:rFonts w:ascii="Calibri" w:hAnsi="Calibri" w:cs="Calibri"/>
          <w:b w:val="0"/>
          <w:i w:val="0"/>
          <w:color w:val="222222"/>
          <w:sz w:val="20"/>
        </w:rPr>
        <w:t>Access to the Meraki organization and network that contains the MX firewall, MS switches, and any MR access points relevant to this site.</w:t>
      </w:r>
    </w:p>
    <w:p>
      <w:pPr>
        <w:pStyle w:val="ListBullet"/>
        <w:spacing w:after="40" w:line="269" w:lineRule="auto"/>
        <w:ind w:left="360"/>
      </w:pPr>
      <w:r>
        <w:rPr>
          <w:rFonts w:ascii="Calibri" w:hAnsi="Calibri" w:cs="Calibri"/>
          <w:b w:val="0"/>
          <w:i w:val="0"/>
          <w:color w:val="222222"/>
          <w:sz w:val="20"/>
        </w:rPr>
        <w:t>Any current topology diagrams, ISP handoff details, static public IP information, and existing circuit documentation.</w:t>
      </w:r>
    </w:p>
    <w:p>
      <w:pPr>
        <w:pStyle w:val="ListBullet"/>
        <w:spacing w:after="40" w:line="269" w:lineRule="auto"/>
        <w:ind w:left="360"/>
      </w:pPr>
      <w:r>
        <w:rPr>
          <w:rFonts w:ascii="Calibri" w:hAnsi="Calibri" w:cs="Calibri"/>
          <w:b w:val="0"/>
          <w:i w:val="0"/>
          <w:color w:val="222222"/>
          <w:sz w:val="20"/>
        </w:rPr>
        <w:t>Existing backup/configuration exports for non-Meraki switches, which have already been partially supplied.</w:t>
      </w:r>
    </w:p>
    <w:p>
      <w:pPr>
        <w:pStyle w:val="ListBullet"/>
        <w:spacing w:after="40" w:line="269" w:lineRule="auto"/>
        <w:ind w:left="360"/>
      </w:pPr>
      <w:r>
        <w:rPr>
          <w:rFonts w:ascii="Calibri" w:hAnsi="Calibri" w:cs="Calibri"/>
          <w:b w:val="0"/>
          <w:i w:val="0"/>
          <w:color w:val="222222"/>
          <w:sz w:val="20"/>
        </w:rPr>
        <w:t>A point of contact for topology validation and a maintenance/change window reference for any follow-up validation work.</w:t>
      </w:r>
    </w:p>
    <w:tbl>
      <w:tblPr>
        <w:tblW w:type="auto" w:w="0"/>
        <w:jc w:val="left"/>
        <w:tblLayout w:type="fixed"/>
        <w:tblLook w:firstColumn="1" w:firstRow="1" w:lastColumn="0" w:lastRow="0" w:noHBand="0" w:noVBand="1" w:val="04A0"/>
      </w:tblPr>
      <w:tblGrid>
        <w:gridCol w:w="9936"/>
      </w:tblGrid>
      <w:tr>
        <w:tc>
          <w:tcPr>
            <w:tcW w:type="dxa" w:w="9504"/>
            <w:shd w:fill="FFF8E8" w:color="auto" w:val="clear"/>
            <w:tcBorders>
              <w:start w:val="single" w:sz="10" w:color="E5C97A"/>
              <w:top w:val="single" w:sz="10" w:color="E5C97A"/>
              <w:end w:val="single" w:sz="10" w:color="E5C97A"/>
              <w:bottom w:val="single" w:sz="10" w:color="E5C97A"/>
            </w:tcBorders>
            <w:tcMar>
              <w:top w:w="90" w:type="dxa"/>
              <w:start w:w="100" w:type="dxa"/>
              <w:bottom w:w="90" w:type="dxa"/>
              <w:end w:w="100" w:type="dxa"/>
            </w:tcMar>
          </w:tcPr>
          <w:p>
            <w:pPr>
              <w:spacing w:before="0" w:after="0" w:line="276" w:lineRule="auto"/>
            </w:pPr>
            <w:r>
              <w:rPr>
                <w:rFonts w:ascii="Calibri" w:hAnsi="Calibri" w:cs="Calibri"/>
                <w:b/>
                <w:i w:val="0"/>
                <w:color w:val="7A5A00"/>
                <w:sz w:val="20"/>
              </w:rPr>
              <w:t xml:space="preserve">Preferred access model: </w:t>
            </w:r>
            <w:r>
              <w:rPr>
                <w:rFonts w:ascii="Calibri" w:hAnsi="Calibri" w:cs="Calibri"/>
                <w:b w:val="0"/>
                <w:i w:val="0"/>
                <w:color w:val="7A5A00"/>
                <w:sz w:val="20"/>
              </w:rPr>
              <w:t>For security and accountability, request named read-only Meraki access or a temporary API key from a named administrator. Avoid asking the client to email shared dashboard passwords.</w:t>
            </w:r>
          </w:p>
        </w:tc>
      </w:tr>
    </w:tbl>
    <w:p>
      <w:pPr>
        <w:spacing w:after="20"/>
      </w:pPr>
    </w:p>
    <w:p>
      <w:pPr>
        <w:pStyle w:val="SectionHeading"/>
        <w:jc w:val="left"/>
      </w:pPr>
      <w:r>
        <w:rPr>
          <w:rFonts w:ascii="Calibri" w:hAnsi="Calibri" w:cs="Calibri"/>
          <w:b/>
          <w:i w:val="0"/>
          <w:color w:val="17365D"/>
          <w:sz w:val="30"/>
        </w:rPr>
        <w:t>5. Specific Meraki data that must be included</w:t>
      </w:r>
    </w:p>
    <w:p>
      <w:pPr>
        <w:spacing w:before="0" w:after="80" w:line="283" w:lineRule="auto"/>
      </w:pPr>
      <w:r>
        <w:rPr>
          <w:rFonts w:ascii="Calibri" w:hAnsi="Calibri" w:cs="Calibri"/>
          <w:b w:val="0"/>
          <w:i w:val="0"/>
          <w:color w:val="222222"/>
          <w:sz w:val="21"/>
        </w:rPr>
        <w:t>Because routing is believed to reside on the Meraki MX and the omitted Meraki MS layer likely holds the core switching policy, the proposal should explicitly request the following:</w:t>
      </w:r>
    </w:p>
    <w:p>
      <w:pPr>
        <w:pStyle w:val="ListBullet"/>
        <w:spacing w:after="40" w:line="269" w:lineRule="auto"/>
        <w:ind w:left="360"/>
      </w:pPr>
      <w:r>
        <w:rPr>
          <w:rFonts w:ascii="Calibri" w:hAnsi="Calibri" w:cs="Calibri"/>
          <w:b w:val="0"/>
          <w:i w:val="0"/>
          <w:color w:val="222222"/>
          <w:sz w:val="20"/>
        </w:rPr>
        <w:t>Meraki MX firewall: Addressing and VLANs, appliance ports, static routes, L3/L7 firewall rules, DHCP, WAN uplinks, site-to-site VPN, and any SD-WAN or content-filtering policies relevant to segmentation.</w:t>
      </w:r>
    </w:p>
    <w:p>
      <w:pPr>
        <w:pStyle w:val="ListBullet"/>
        <w:spacing w:after="40" w:line="269" w:lineRule="auto"/>
        <w:ind w:left="360"/>
      </w:pPr>
      <w:r>
        <w:rPr>
          <w:rFonts w:ascii="Calibri" w:hAnsi="Calibri" w:cs="Calibri"/>
          <w:b w:val="0"/>
          <w:i w:val="0"/>
          <w:color w:val="222222"/>
          <w:sz w:val="20"/>
        </w:rPr>
        <w:t>Meraki MS switches: switch settings, per-port configuration, link aggregations, access policies, ACLs, DHCP server policy / ARP inspection settings, and any Layer 3 interfaces if enabled.</w:t>
      </w:r>
    </w:p>
    <w:p>
      <w:pPr>
        <w:pStyle w:val="ListBullet"/>
        <w:spacing w:after="40" w:line="269" w:lineRule="auto"/>
        <w:ind w:left="360"/>
      </w:pPr>
      <w:r>
        <w:rPr>
          <w:rFonts w:ascii="Calibri" w:hAnsi="Calibri" w:cs="Calibri"/>
          <w:b w:val="0"/>
          <w:i w:val="0"/>
          <w:color w:val="222222"/>
          <w:sz w:val="20"/>
        </w:rPr>
        <w:t>Meraki MR wireless (if in use): SSID-to-VLAN mapping, local-LAN access policy, and SSID firewall rules where wireless segmentation matters to the office and guest design.</w:t>
      </w:r>
    </w:p>
    <w:p>
      <w:pPr>
        <w:spacing w:before="0" w:after="80" w:line="283" w:lineRule="auto"/>
      </w:pPr>
      <w:r>
        <w:rPr>
          <w:rFonts w:ascii="Calibri" w:hAnsi="Calibri" w:cs="Calibri"/>
          <w:b w:val="0"/>
          <w:i w:val="0"/>
          <w:color w:val="222222"/>
          <w:sz w:val="21"/>
        </w:rPr>
        <w:t>If the client prefers a manual collection process instead of API export, the assessment can still proceed using read-only Dashboard review and page-level screenshots from the relevant Meraki sections. The API method is simply cleaner, faster, and more complete.</w:t>
      </w:r>
    </w:p>
    <w:p>
      <w:pPr>
        <w:pStyle w:val="SectionHeading"/>
        <w:jc w:val="left"/>
      </w:pPr>
      <w:r>
        <w:rPr>
          <w:rFonts w:ascii="Calibri" w:hAnsi="Calibri" w:cs="Calibri"/>
          <w:b/>
          <w:i w:val="0"/>
          <w:color w:val="17365D"/>
          <w:sz w:val="30"/>
        </w:rPr>
        <w:t>6. Deliverables</w:t>
      </w:r>
    </w:p>
    <w:p>
      <w:pPr>
        <w:pStyle w:val="ListBullet"/>
        <w:spacing w:after="40" w:line="269" w:lineRule="auto"/>
        <w:ind w:left="360"/>
      </w:pPr>
      <w:r>
        <w:rPr>
          <w:rFonts w:ascii="Calibri" w:hAnsi="Calibri" w:cs="Calibri"/>
          <w:b w:val="0"/>
          <w:i w:val="0"/>
          <w:color w:val="222222"/>
          <w:sz w:val="20"/>
        </w:rPr>
        <w:t>Executive summary suitable for non-technical leadership review.</w:t>
      </w:r>
    </w:p>
    <w:p>
      <w:pPr>
        <w:pStyle w:val="ListBullet"/>
        <w:spacing w:after="40" w:line="269" w:lineRule="auto"/>
        <w:ind w:left="360"/>
      </w:pPr>
      <w:r>
        <w:rPr>
          <w:rFonts w:ascii="Calibri" w:hAnsi="Calibri" w:cs="Calibri"/>
          <w:b w:val="0"/>
          <w:i w:val="0"/>
          <w:color w:val="222222"/>
          <w:sz w:val="20"/>
        </w:rPr>
        <w:t>Technical findings register with severity, business impact, and recommended actions.</w:t>
      </w:r>
    </w:p>
    <w:p>
      <w:pPr>
        <w:pStyle w:val="ListBullet"/>
        <w:spacing w:after="40" w:line="269" w:lineRule="auto"/>
        <w:ind w:left="360"/>
      </w:pPr>
      <w:r>
        <w:rPr>
          <w:rFonts w:ascii="Calibri" w:hAnsi="Calibri" w:cs="Calibri"/>
          <w:b w:val="0"/>
          <w:i w:val="0"/>
          <w:color w:val="222222"/>
          <w:sz w:val="20"/>
        </w:rPr>
        <w:t>Validated or corrected network segmentation narrative covering office, guest, IoT, printer, OT, and management networks.</w:t>
      </w:r>
    </w:p>
    <w:p>
      <w:pPr>
        <w:pStyle w:val="ListBullet"/>
        <w:spacing w:after="40" w:line="269" w:lineRule="auto"/>
        <w:ind w:left="360"/>
      </w:pPr>
      <w:r>
        <w:rPr>
          <w:rFonts w:ascii="Calibri" w:hAnsi="Calibri" w:cs="Calibri"/>
          <w:b w:val="0"/>
          <w:i w:val="0"/>
          <w:color w:val="222222"/>
          <w:sz w:val="20"/>
        </w:rPr>
        <w:t>Meraki MX/MS/MR data-collection checklist and gap log.</w:t>
      </w:r>
    </w:p>
    <w:p>
      <w:pPr>
        <w:pStyle w:val="ListBullet"/>
        <w:spacing w:after="40" w:line="269" w:lineRule="auto"/>
        <w:ind w:left="360"/>
      </w:pPr>
      <w:r>
        <w:rPr>
          <w:rFonts w:ascii="Calibri" w:hAnsi="Calibri" w:cs="Calibri"/>
          <w:b w:val="0"/>
          <w:i w:val="0"/>
          <w:color w:val="222222"/>
          <w:sz w:val="20"/>
        </w:rPr>
        <w:t>30/60/90-day remediation roadmap and configuration standardization recommendations.</w:t>
      </w:r>
    </w:p>
    <w:p>
      <w:pPr>
        <w:pStyle w:val="SectionHeading"/>
        <w:jc w:val="left"/>
      </w:pPr>
      <w:r>
        <w:rPr>
          <w:rFonts w:ascii="Calibri" w:hAnsi="Calibri" w:cs="Calibri"/>
          <w:b/>
          <w:i w:val="0"/>
          <w:color w:val="17365D"/>
          <w:sz w:val="30"/>
        </w:rPr>
        <w:t>7. Assumptions and exclusions</w:t>
      </w:r>
    </w:p>
    <w:p>
      <w:pPr>
        <w:pStyle w:val="ListBullet"/>
        <w:spacing w:after="40" w:line="269" w:lineRule="auto"/>
        <w:ind w:left="360"/>
      </w:pPr>
      <w:r>
        <w:rPr>
          <w:rFonts w:ascii="Calibri" w:hAnsi="Calibri" w:cs="Calibri"/>
          <w:b w:val="0"/>
          <w:i w:val="0"/>
          <w:color w:val="222222"/>
          <w:sz w:val="20"/>
        </w:rPr>
        <w:t>This proposal is for a configuration-based assessment and leadership readout. It is not a full wireless survey, cable certification, or after-hours change implementation engagement.</w:t>
      </w:r>
    </w:p>
    <w:p>
      <w:pPr>
        <w:pStyle w:val="ListBullet"/>
        <w:spacing w:after="40" w:line="269" w:lineRule="auto"/>
        <w:ind w:left="360"/>
      </w:pPr>
      <w:r>
        <w:rPr>
          <w:rFonts w:ascii="Calibri" w:hAnsi="Calibri" w:cs="Calibri"/>
          <w:b w:val="0"/>
          <w:i w:val="0"/>
          <w:color w:val="222222"/>
          <w:sz w:val="20"/>
        </w:rPr>
        <w:t>The current backup set excludes the Meraki MS switch estate and does not yet include a full Meraki MX configuration export; accordingly, a final sign-off assessment requires the Meraki data collection step described in this proposal.</w:t>
      </w:r>
    </w:p>
    <w:p>
      <w:pPr>
        <w:pStyle w:val="ListBullet"/>
        <w:spacing w:after="40" w:line="269" w:lineRule="auto"/>
        <w:ind w:left="360"/>
      </w:pPr>
      <w:r>
        <w:rPr>
          <w:rFonts w:ascii="Calibri" w:hAnsi="Calibri" w:cs="Calibri"/>
          <w:b w:val="0"/>
          <w:i w:val="0"/>
          <w:color w:val="222222"/>
          <w:sz w:val="20"/>
        </w:rPr>
        <w:t>Based on the April 9 clarification, inter-VLAN routing is believed to reside on the Meraki MX firewall while the switch estate is primarily Layer 2. That assumption will be validated during the assessment.</w:t>
      </w:r>
    </w:p>
    <w:p>
      <w:pPr>
        <w:pStyle w:val="ListBullet"/>
        <w:spacing w:after="40" w:line="269" w:lineRule="auto"/>
        <w:ind w:left="360"/>
      </w:pPr>
      <w:r>
        <w:rPr>
          <w:rFonts w:ascii="Calibri" w:hAnsi="Calibri" w:cs="Calibri"/>
          <w:b w:val="0"/>
          <w:i w:val="0"/>
          <w:color w:val="222222"/>
          <w:sz w:val="20"/>
        </w:rPr>
        <w:t>Commercial pricing, travel, remediation labor, and any change execution activities can be issued separately once scope and data completeness are confirmed.</w:t>
      </w:r>
    </w:p>
    <w:p>
      <w:pPr>
        <w:pStyle w:val="SectionHeading"/>
        <w:jc w:val="left"/>
      </w:pPr>
      <w:r>
        <w:rPr>
          <w:rFonts w:ascii="Calibri" w:hAnsi="Calibri" w:cs="Calibri"/>
          <w:b/>
          <w:i w:val="0"/>
          <w:color w:val="17365D"/>
          <w:sz w:val="30"/>
        </w:rPr>
        <w:t>8. Suggested wording to include in the proposal</w:t>
      </w:r>
    </w:p>
    <w:tbl>
      <w:tblPr>
        <w:tblW w:type="auto" w:w="0"/>
        <w:jc w:val="left"/>
        <w:tblLayout w:type="fixed"/>
        <w:tblLook w:firstColumn="1" w:firstRow="1" w:lastColumn="0" w:lastRow="0" w:noHBand="0" w:noVBand="1" w:val="04A0"/>
      </w:tblPr>
      <w:tblGrid>
        <w:gridCol w:w="9936"/>
      </w:tblGrid>
      <w:tr>
        <w:tc>
          <w:tcPr>
            <w:tcW w:type="dxa" w:w="9504"/>
            <w:shd w:fill="EEF5FB" w:color="auto" w:val="clear"/>
            <w:tcBorders>
              <w:start w:val="single" w:sz="10" w:color="B7CEE8"/>
              <w:top w:val="single" w:sz="10" w:color="B7CEE8"/>
              <w:end w:val="single" w:sz="10" w:color="B7CEE8"/>
              <w:bottom w:val="single" w:sz="10" w:color="B7CEE8"/>
            </w:tcBorders>
            <w:tcMar>
              <w:top w:w="90" w:type="dxa"/>
              <w:start w:w="100" w:type="dxa"/>
              <w:bottom w:w="90" w:type="dxa"/>
              <w:end w:w="100" w:type="dxa"/>
            </w:tcMar>
          </w:tcPr>
          <w:p>
            <w:pPr>
              <w:spacing w:before="0" w:after="0" w:line="276" w:lineRule="auto"/>
            </w:pPr>
            <w:r>
              <w:rPr>
                <w:rFonts w:ascii="Calibri" w:hAnsi="Calibri" w:cs="Calibri"/>
                <w:b/>
                <w:i w:val="0"/>
                <w:color w:val="17365D"/>
                <w:sz w:val="20"/>
              </w:rPr>
              <w:t xml:space="preserve">Proposal language: </w:t>
            </w:r>
            <w:r>
              <w:rPr>
                <w:rFonts w:ascii="Calibri" w:hAnsi="Calibri" w:cs="Calibri"/>
                <w:b w:val="0"/>
                <w:i w:val="0"/>
                <w:color w:val="17365D"/>
                <w:sz w:val="20"/>
              </w:rPr>
              <w:t>To complete the network assessment, the client will provide read-only Meraki Dashboard access or a time-limited Meraki API export for the MX firewall, MS switches, and any relevant MR wireless devices. This data is required to validate routing, VLAN enforcement, trunking, access policies, guest isolation, and end-to-end segmentation. The currently supplied switch backups do not include the cloud-managed Meraki MS layer, so final sign-off depends on this collection step.</w:t>
            </w:r>
          </w:p>
        </w:tc>
      </w:tr>
    </w:tbl>
    <w:p>
      <w:pPr>
        <w:spacing w:after="20"/>
      </w:pPr>
    </w:p>
    <w:p>
      <w:pPr>
        <w:pStyle w:val="SectionHeading"/>
        <w:jc w:val="left"/>
      </w:pPr>
      <w:r>
        <w:rPr>
          <w:rFonts w:ascii="Calibri" w:hAnsi="Calibri" w:cs="Calibri"/>
          <w:b/>
          <w:i w:val="0"/>
          <w:color w:val="17365D"/>
          <w:sz w:val="30"/>
        </w:rPr>
        <w:t>9. Next step</w:t>
      </w:r>
    </w:p>
    <w:p>
      <w:pPr>
        <w:spacing w:before="0" w:after="80" w:line="283" w:lineRule="auto"/>
      </w:pPr>
      <w:r>
        <w:rPr>
          <w:rFonts w:ascii="Calibri" w:hAnsi="Calibri" w:cs="Calibri"/>
          <w:b w:val="0"/>
          <w:i w:val="0"/>
          <w:color w:val="222222"/>
          <w:sz w:val="21"/>
        </w:rPr>
        <w:t>Approve the assessment scope, collect the Meraki data set, and schedule a brief kickoff to validate inventory and business-critical traffic paths. Once the Meraki evidence is added, the engagement can move quickly to a final risk-ranked assessment and executive readout.</w:t>
      </w:r>
    </w:p>
    <w:sectPr w:rsidR="00FC693F" w:rsidRPr="0006063C" w:rsidSect="00034616">
      <w:headerReference w:type="default" r:id="rId9"/>
      <w:footerReference w:type="default" r:id="rId10"/>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Calibri" w:hAnsi="Calibri" w:cs="Calibri"/>
        <w:b w:val="0"/>
        <w:i w:val="0"/>
        <w:color w:val="6E6E6E"/>
        <w:sz w:val="17"/>
      </w:rPr>
      <w:t>Confidential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Calibri" w:hAnsi="Calibri" w:cs="Calibri"/>
        <w:b w:val="0"/>
        <w:i w:val="0"/>
        <w:color w:val="6E6E6E"/>
        <w:sz w:val="17"/>
      </w:rPr>
      <w:t>Aranda network assessment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basedOn w:val="Normal"/>
    <w:pPr>
      <w:spacing w:after="160" w:before="0" w:line="276" w:lineRule="auto"/>
    </w:pPr>
    <w:rPr>
      <w:rFonts w:ascii="Calibri" w:hAnsi="Calibri"/>
      <w:b/>
      <w:color w:val="17365D"/>
      <w:sz w:val="48"/>
    </w:rPr>
  </w:style>
  <w:style w:type="paragraph" w:customStyle="1" w:styleId="CustomSubtitle">
    <w:name w:val="Custom Subtitle"/>
    <w:basedOn w:val="Normal"/>
    <w:pPr>
      <w:spacing w:after="200" w:before="0" w:line="276" w:lineRule="auto"/>
    </w:pPr>
    <w:rPr>
      <w:rFonts w:ascii="Calibri" w:hAnsi="Calibri"/>
      <w:b w:val="0"/>
      <w:color w:val="4F81BD"/>
      <w:sz w:val="25"/>
    </w:rPr>
  </w:style>
  <w:style w:type="paragraph" w:customStyle="1" w:styleId="SectionHeading">
    <w:name w:val="Section Heading"/>
    <w:basedOn w:val="Heading1"/>
    <w:pPr>
      <w:spacing w:after="120" w:before="240" w:line="276" w:lineRule="auto"/>
    </w:pPr>
    <w:rPr>
      <w:rFonts w:ascii="Calibri" w:hAnsi="Calibri"/>
      <w:b/>
      <w:color w:val="17365D"/>
      <w:sz w:val="30"/>
    </w:rPr>
  </w:style>
  <w:style w:type="paragraph" w:customStyle="1" w:styleId="SubsectionHeading">
    <w:name w:val="Subsection Heading"/>
    <w:basedOn w:val="Heading2"/>
    <w:pPr>
      <w:spacing w:after="60" w:before="160" w:line="276" w:lineRule="auto"/>
    </w:pPr>
    <w:rPr>
      <w:rFonts w:ascii="Calibri" w:hAnsi="Calibri"/>
      <w:b/>
      <w:color w:val="1F4E79"/>
      <w:sz w:val="23"/>
    </w:rPr>
  </w:style>
  <w:style w:type="paragraph" w:customStyle="1" w:styleId="SmallNote">
    <w:name w:val="Small Note"/>
    <w:basedOn w:val="Normal"/>
    <w:pPr>
      <w:spacing w:after="40" w:before="0" w:line="276" w:lineRule="auto"/>
    </w:pPr>
    <w:rPr>
      <w:rFonts w:ascii="Calibri" w:hAnsi="Calibri"/>
      <w:b w:val="0"/>
      <w:color w:val="666666"/>
      <w:sz w:val="17"/>
    </w:rPr>
  </w:style>
  <w:style w:type="paragraph" w:customStyle="1" w:styleId="TableText">
    <w:name w:val="Table Text"/>
    <w:basedOn w:val="Normal"/>
    <w:pPr>
      <w:spacing w:after="0" w:before="0" w:line="276" w:lineRule="auto"/>
    </w:pPr>
    <w:rPr>
      <w:rFonts w:ascii="Calibri" w:hAnsi="Calibri"/>
      <w:b w:val="0"/>
      <w:color w:val="222222"/>
      <w:sz w:val="18"/>
    </w:rPr>
  </w:style>
  <w:style w:type="paragraph" w:customStyle="1" w:styleId="CalloutText">
    <w:name w:val="Callout Text"/>
    <w:basedOn w:val="Normal"/>
    <w:pPr>
      <w:spacing w:after="0" w:before="0" w:line="276" w:lineRule="auto"/>
    </w:pPr>
    <w:rPr>
      <w:rFonts w:ascii="Calibri" w:hAnsi="Calibri"/>
      <w:b w:val="0"/>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