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Rahul Uniyal</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TIPL-CSE-2022-06</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May 10, 2022</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Notice of Retrenchment — IR Code 2020 §70</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Rahul Uniyal</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retrenched under </w:t>
      </w:r>
      <w:r>
        <w:rPr>
          <w:rFonts w:ascii="Calibri" w:cs="Calibri" w:eastAsia="Calibri" w:hAnsi="Calibri"/>
          <w:b/>
          <w:bCs/>
          <w:i w:val="false"/>
          <w:iCs w:val="false"/>
          <w:color w:val="1A1A2E"/>
          <w:sz w:val="22"/>
          <w:szCs w:val="22"/>
        </w:rPr>
        <w:t xml:space="preserve">Section 70 of the Industrial Relations Code, 2020</w:t>
      </w:r>
      <w:r>
        <w:rPr>
          <w:rFonts w:ascii="Calibri" w:cs="Calibri" w:eastAsia="Calibri" w:hAnsi="Calibri"/>
          <w:b w:val="false"/>
          <w:bCs w:val="false"/>
          <w:i w:val="false"/>
          <w:iCs w:val="false"/>
          <w:color w:val="59595B"/>
          <w:sz w:val="22"/>
          <w:szCs w:val="22"/>
        </w:rPr>
        <w:t xml:space="preserve">, with your last working day being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retrenchment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 are placed on paid leave-of-absence effective today; your system access and client credentials have been revoked. All statutory entitlements, including retrenchment compensation under §70 and any Earned Leave balance, will be paid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Your accrued Earned Leave (EL) balance as of April 2026 payroll is 89.16 hours (approximately 11.15 working days). This balance, together with any May 2026 accrual, will be fully utilized as paid leave during the notice period (May 11 to May 31, 2026). A pre-filled leave application is provided to you with this notice for signature. Upon full utilization of your EL balance during the notice period, no separate EL encashment will be payable.</w:t>
      </w:r>
    </w:p>
    <w:p>
      <w:pPr>
        <w:spacing w:after="80" w:before="100"/>
      </w:pPr>
      <w:r>
        <w:rPr>
          <w:rFonts w:ascii="Calibri" w:cs="Calibri" w:eastAsia="Calibri" w:hAnsi="Calibri"/>
          <w:b/>
          <w:bCs/>
          <w:color w:val="006DB6"/>
          <w:sz w:val="22"/>
          <w:szCs w:val="22"/>
        </w:rPr>
        <w:t xml:space="preserve">Statutory Compliance:</w:t>
      </w:r>
    </w:p>
    <w:p>
      <w:pPr>
        <w:spacing w:after="200" w:before="0"/>
        <w:jc w:val="left"/>
      </w:pPr>
      <w:r>
        <w:rPr>
          <w:rFonts w:ascii="Calibri" w:cs="Calibri" w:eastAsia="Calibri" w:hAnsi="Calibri"/>
          <w:b w:val="false"/>
          <w:bCs w:val="false"/>
          <w:i w:val="false"/>
          <w:iCs w:val="false"/>
          <w:color w:val="59595B"/>
          <w:sz w:val="22"/>
          <w:szCs w:val="22"/>
        </w:rPr>
        <w:t xml:space="preserve">This retrenchment is carried out in compliance with the Industrial Relations Code, 2020. The selection follows the last-in-first-out (LIFO) seniority order within the Customer Support Engineering department as required by §71. The required notification under §70(c) is being filed with the appropriate Government authority concurrent with the issuance of this notice. The Company's establishment size is below the §77 prior-permission threshold; no prior Government permission is required. The Re-skilling Fund contribution under §83 will be deposited with the Haryana state authority.</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38,585</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12,862</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Rs.38,585 / 30</w:t>
            </w:r>
          </w:p>
        </w:tc>
      </w:tr>
      <w:tr>
        <w:tc>
          <w:p>
            <w:pPr>
              <w:spacing w:after="40" w:before="40"/>
              <w:jc w:val="left"/>
            </w:pPr>
            <w:r>
              <w:rPr>
                <w:rFonts w:ascii="Calibri" w:cs="Calibri" w:eastAsia="Calibri" w:hAnsi="Calibri"/>
                <w:b w:val="false"/>
                <w:bCs w:val="false"/>
                <w:color w:val="1A1A2E"/>
                <w:sz w:val="20"/>
                <w:szCs w:val="20"/>
              </w:rPr>
              <w:t xml:space="preserve">Retrenchment compensation (IR Code 2020 §70)</w:t>
            </w:r>
          </w:p>
        </w:tc>
        <w:tc>
          <w:p>
            <w:pPr>
              <w:spacing w:after="40" w:before="40"/>
              <w:jc w:val="left"/>
            </w:pPr>
            <w:r>
              <w:rPr>
                <w:rFonts w:ascii="Calibri" w:cs="Calibri" w:eastAsia="Calibri" w:hAnsi="Calibri"/>
                <w:b w:val="false"/>
                <w:bCs w:val="false"/>
                <w:color w:val="1A1A2E"/>
                <w:sz w:val="20"/>
                <w:szCs w:val="20"/>
              </w:rPr>
              <w:t xml:space="preserve">Rs. 39,370</w:t>
            </w:r>
          </w:p>
        </w:tc>
        <w:tc>
          <w:p>
            <w:pPr>
              <w:spacing w:after="40" w:before="40"/>
              <w:jc w:val="left"/>
            </w:pPr>
            <w:r>
              <w:rPr>
                <w:rFonts w:ascii="Calibri" w:cs="Calibri" w:eastAsia="Calibri" w:hAnsi="Calibri"/>
                <w:b w:val="false"/>
                <w:bCs w:val="false"/>
                <w:color w:val="1A1A2E"/>
                <w:sz w:val="20"/>
                <w:szCs w:val="20"/>
              </w:rPr>
              <w:t xml:space="preserve">15 days x 4 years x Basic Rs.19,685 / 30 (per IR Code §2(zh): wages = Basic + DA only)</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Fully utilized during notice period (89.16 hrs per April 2026 payslip)</w:t>
            </w:r>
          </w:p>
        </w:tc>
      </w:tr>
      <w:tr>
        <w:tc>
          <w:p>
            <w:pPr>
              <w:spacing w:after="40" w:before="40"/>
              <w:jc w:val="left"/>
            </w:pPr>
            <w:r>
              <w:rPr>
                <w:rFonts w:ascii="Calibri" w:cs="Calibri" w:eastAsia="Calibri" w:hAnsi="Calibri"/>
                <w:b/>
                <w:bCs/>
                <w:color w:val="1A1A2E"/>
                <w:sz w:val="20"/>
                <w:szCs w:val="20"/>
              </w:rPr>
              <w:t xml:space="preserve">Total Cash to Employee (payable June 1, 2026)</w:t>
            </w:r>
          </w:p>
        </w:tc>
        <w:tc>
          <w:p>
            <w:pPr>
              <w:spacing w:after="40" w:before="40"/>
              <w:jc w:val="left"/>
            </w:pPr>
            <w:r>
              <w:rPr>
                <w:rFonts w:ascii="Calibri" w:cs="Calibri" w:eastAsia="Calibri" w:hAnsi="Calibri"/>
                <w:b/>
                <w:bCs/>
                <w:color w:val="1A1A2E"/>
                <w:sz w:val="20"/>
                <w:szCs w:val="20"/>
              </w:rPr>
              <w:t xml:space="preserve">Rs. 90,817</w:t>
            </w:r>
          </w:p>
        </w:tc>
        <w:tc>
          <w:p>
            <w:pPr>
              <w:spacing w:after="40" w:before="40"/>
              <w:jc w:val="left"/>
            </w:pPr>
            <w:r>
              <w:rPr>
                <w:rFonts w:ascii="Calibri" w:cs="Calibri" w:eastAsia="Calibri" w:hAnsi="Calibri"/>
                <w:b/>
                <w:bCs/>
                <w:color w:val="1A1A2E"/>
                <w:sz w:val="20"/>
                <w:szCs w:val="20"/>
              </w:rPr>
              <w:t xml:space="preserve">Net amount to bank account</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Re-skilling Fund deposit (IR Code §83) - PAID TO STATE, NOT TO EMPLOYEE</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9,843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Company expense: paid directly to Haryana Re-skilling Fund (15 days x Basic Rs.19,685 / 30)</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Rahul Uniyal</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Rahul Uniyal</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TIPL-CSE-2022-06</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Rahul Uniyal</dc:title>
  <dc:creator>Technijian IT Services Pvt. Ltd.</dc:creator>
  <dc:description>Employment termination notice dated May 11, 2026</dc:description>
  <cp:lastModifiedBy>Un-named</cp:lastModifiedBy>
  <cp:revision>1</cp:revision>
  <dcterms:created xsi:type="dcterms:W3CDTF">2026-05-11T17:01:04.857Z</dcterms:created>
  <dcterms:modified xsi:type="dcterms:W3CDTF">2026-05-11T17:01:04.857Z</dcterms:modified>
</cp:coreProperties>
</file>

<file path=docProps/custom.xml><?xml version="1.0" encoding="utf-8"?>
<Properties xmlns="http://schemas.openxmlformats.org/officeDocument/2006/custom-properties" xmlns:vt="http://schemas.openxmlformats.org/officeDocument/2006/docPropsVTypes"/>
</file>