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a2a953e17aa5c962eac4cbc92ee26b8de8651ee"/>
    <w:p>
      <w:pPr>
        <w:pStyle w:val="Heading1"/>
      </w:pPr>
      <w:r>
        <w:t xml:space="preserve">Case Law Upgrade Research — Technijian v. Vintage Design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2026-04-17</w:t>
      </w:r>
      <w:r>
        <w:t xml:space="preserve"> </w:t>
      </w:r>
      <w:r>
        <w:rPr>
          <w:b/>
          <w:bCs/>
        </w:rPr>
        <w:t xml:space="preserve">Memo under review:</w:t>
      </w:r>
      <w:r>
        <w:t xml:space="preserve"> </w:t>
      </w:r>
      <w:r>
        <w:rPr>
          <w:rStyle w:val="VerbatimChar"/>
        </w:rPr>
        <w:t xml:space="preserve">CASE_LAW_RESEARCH_MEMO.md</w:t>
      </w:r>
      <w:r>
        <w:t xml:space="preserve"> </w:t>
      </w:r>
      <w:r>
        <w:t xml:space="preserve">dated 4/14/2026</w:t>
      </w:r>
      <w:r>
        <w:t xml:space="preserve"> </w:t>
      </w:r>
      <w:r>
        <w:rPr>
          <w:b/>
          <w:bCs/>
        </w:rPr>
        <w:t xml:space="preserve">Matter:</w:t>
      </w:r>
      <w:r>
        <w:t xml:space="preserve"> </w:t>
      </w:r>
      <w:r>
        <w:t xml:space="preserve">AAA Commercial Arbitration —</w:t>
      </w:r>
      <w:r>
        <w:t xml:space="preserve"> </w:t>
      </w:r>
      <w:r>
        <w:rPr>
          <w:i/>
          <w:iCs/>
        </w:rPr>
        <w:t xml:space="preserve">Technijian, Inc. v. Vintage Design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California authority 2020–2026 potentially superior to authority cited in the existing 30-issue memo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All citations to be Shepardized before citing in any filing</w:t>
      </w:r>
    </w:p>
    <w:p>
      <w:r>
        <w:pict>
          <v:rect style="width:0;height:1.5pt" o:hralign="center" o:hrstd="t" o:hr="t"/>
        </w:pict>
      </w:r>
    </w:p>
    <w:bookmarkStart w:id="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4/14/2026 memo’s authority is in better condition than a generic</w:t>
      </w:r>
      <w:r>
        <w:t xml:space="preserve"> </w:t>
      </w:r>
      <w:r>
        <w:t xml:space="preserve">“2000–2019 citations”</w:t>
      </w:r>
      <w:r>
        <w:t xml:space="preserve"> </w:t>
      </w:r>
      <w:r>
        <w:t xml:space="preserve">concern would suggest. Course-of-performance, § 1717 reciprocity, § 3287(a) prejudgment interest, and business-records doctrine are settled and stable — no material 2020–2026 opinion improves on them. The three meaningful upgrades are</w:t>
      </w:r>
      <w:r>
        <w:t xml:space="preserve"> </w:t>
      </w:r>
      <w:r>
        <w:rPr>
          <w:i/>
          <w:iCs/>
        </w:rPr>
        <w:t xml:space="preserve">Gormley</w:t>
      </w:r>
      <w:r>
        <w:t xml:space="preserve"> </w:t>
      </w:r>
      <w:r>
        <w:t xml:space="preserve">(A),</w:t>
      </w:r>
      <w:r>
        <w:t xml:space="preserve"> </w:t>
      </w:r>
      <w:r>
        <w:rPr>
          <w:i/>
          <w:iCs/>
        </w:rPr>
        <w:t xml:space="preserve">Iyere</w:t>
      </w:r>
      <w:r>
        <w:t xml:space="preserve"> </w:t>
      </w:r>
      <w:r>
        <w:t xml:space="preserve">(A), and</w:t>
      </w:r>
      <w:r>
        <w:t xml:space="preserve"> </w:t>
      </w:r>
      <w:r>
        <w:rPr>
          <w:i/>
          <w:iCs/>
        </w:rPr>
        <w:t xml:space="preserve">Hawkins</w:t>
      </w:r>
      <w:r>
        <w:t xml:space="preserve"> </w:t>
      </w:r>
      <w:r>
        <w:t xml:space="preserve">(A). The three meaningful adverse authorities to pre-empt are</w:t>
      </w:r>
      <w:r>
        <w:t xml:space="preserve"> </w:t>
      </w:r>
      <w:r>
        <w:rPr>
          <w:i/>
          <w:iCs/>
        </w:rPr>
        <w:t xml:space="preserve">Bannister</w:t>
      </w:r>
      <w:r>
        <w:t xml:space="preserve">,</w:t>
      </w:r>
      <w:r>
        <w:t xml:space="preserve"> </w:t>
      </w:r>
      <w:r>
        <w:rPr>
          <w:i/>
          <w:iCs/>
        </w:rPr>
        <w:t xml:space="preserve">Honchariw</w:t>
      </w:r>
      <w:r>
        <w:t xml:space="preserve">, and</w:t>
      </w:r>
      <w:r>
        <w:t xml:space="preserve"> </w:t>
      </w:r>
      <w:r>
        <w:rPr>
          <w:i/>
          <w:iCs/>
        </w:rPr>
        <w:t xml:space="preserve">Graylee</w:t>
      </w:r>
      <w:r>
        <w:t xml:space="preserve"> </w:t>
      </w:r>
      <w:r>
        <w:t xml:space="preserve">— all distinguishable on commercial / non-consumer / sophisticated-parties / course-of-performance-ratified facts.</w:t>
      </w:r>
    </w:p>
    <w:p>
      <w:r>
        <w:pict>
          <v:rect style="width:0;height:1.5pt" o:hralign="center" o:hrstd="t" o:hr="t"/>
        </w:pict>
      </w:r>
    </w:p>
    <w:bookmarkEnd w:id="9"/>
    <w:bookmarkStart w:id="13" w:name="grade-a-cite-in-the-memo"/>
    <w:p>
      <w:pPr>
        <w:pStyle w:val="Heading2"/>
      </w:pPr>
      <w:r>
        <w:t xml:space="preserve">Grade A — Cite in the memo</w:t>
      </w:r>
    </w:p>
    <w:bookmarkStart w:id="10" w:name="X1d143a1e053b507279b85bf7395a69559e1cc86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Gormley v. Gonzalez</w:t>
      </w:r>
      <w:r>
        <w:t xml:space="preserve"> </w:t>
      </w:r>
      <w:r>
        <w:t xml:space="preserve">(2022) 84 Cal.App.5th 72 →</w:t>
      </w:r>
      <w:r>
        <w:t xml:space="preserve"> </w:t>
      </w:r>
      <w:r>
        <w:rPr>
          <w:b/>
          <w:bCs/>
        </w:rPr>
        <w:t xml:space="preserve">§ 2 (Liquidated Damages / § 1671(b))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In a non-consumer contract (there, a settlement agreement), § 1671(b) creates</w:t>
      </w:r>
      <w:r>
        <w:t xml:space="preserve"> </w:t>
      </w:r>
      <w:r>
        <w:t xml:space="preserve">“a general rule favoring the enforcement of liquidated damages provisions”</w:t>
      </w:r>
      <w:r>
        <w:t xml:space="preserve">; challenger bears the burden; LD upheld where parties were represented and amount was a reasonable forecast.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belongs in the memo:</w:t>
      </w:r>
      <w:r>
        <w:t xml:space="preserve"> </w:t>
      </w:r>
      <w:r>
        <w:t xml:space="preserve">Pairs with</w:t>
      </w:r>
      <w:r>
        <w:t xml:space="preserve"> </w:t>
      </w:r>
      <w:r>
        <w:rPr>
          <w:i/>
          <w:iCs/>
        </w:rPr>
        <w:t xml:space="preserve">Ridgley</w:t>
      </w:r>
      <w:r>
        <w:t xml:space="preserve"> </w:t>
      </w:r>
      <w:r>
        <w:t xml:space="preserve">and sharpens the burden-shift argument. Dramatically strengthens the presumption-of-validity framing in a commercial setting — exactly the Technijian/Vintage Design posture (two represented businesses, DocuSigned agreement). Cite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i/>
          <w:iCs/>
        </w:rPr>
        <w:t xml:space="preserve">El Centro Mall</w:t>
      </w:r>
      <w:r>
        <w:t xml:space="preserve">.</w:t>
      </w:r>
    </w:p>
    <w:bookmarkEnd w:id="10"/>
    <w:bookmarkStart w:id="11" w:name="Xcdcd85e0e5d9a6697372df933786400a80dc155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Iyere v. Wise Auto Group</w:t>
      </w:r>
      <w:r>
        <w:t xml:space="preserve"> </w:t>
      </w:r>
      <w:r>
        <w:t xml:space="preserve">(2023) 87 Cal.App.5th 747 →</w:t>
      </w:r>
      <w:r>
        <w:t xml:space="preserve"> </w:t>
      </w:r>
      <w:r>
        <w:rPr>
          <w:b/>
          <w:bCs/>
        </w:rPr>
        <w:t xml:space="preserve">§ 17 (E-Signature / UETA)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Bare</w:t>
      </w:r>
      <w:r>
        <w:t xml:space="preserve"> </w:t>
      </w:r>
      <w:r>
        <w:t xml:space="preserve">“I don’t recall signing”</w:t>
      </w:r>
      <w:r>
        <w:t xml:space="preserve"> </w:t>
      </w:r>
      <w:r>
        <w:t xml:space="preserve">is insufficient to dispute authenticity of a signature; authentication may be</w:t>
      </w:r>
      <w:r>
        <w:t xml:space="preserve"> </w:t>
      </w:r>
      <w:r>
        <w:t xml:space="preserve">“carried in any manner,”</w:t>
      </w:r>
      <w:r>
        <w:t xml:space="preserve"> </w:t>
      </w:r>
      <w:r>
        <w:t xml:space="preserve">including circumstances surrounding execution.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 it belongs:</w:t>
      </w:r>
      <w:r>
        <w:t xml:space="preserve"> </w:t>
      </w:r>
      <w:r>
        <w:t xml:space="preserve">First post-2020 published California appellate decision to rebalance the e-sig authentication burden toward the proponent. Cite alongside</w:t>
      </w:r>
      <w:r>
        <w:t xml:space="preserve"> </w:t>
      </w:r>
      <w:r>
        <w:rPr>
          <w:i/>
          <w:iCs/>
        </w:rPr>
        <w:t xml:space="preserve">Fabian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J.B.B. Investment Partners</w:t>
      </w:r>
      <w:r>
        <w:t xml:space="preserve"> </w:t>
      </w:r>
      <w:r>
        <w:t xml:space="preserve">to show the full doctrinal spectrum.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Caveat:</w:t>
      </w:r>
      <w:r>
        <w:t xml:space="preserve"> </w:t>
      </w:r>
      <w:r>
        <w:rPr>
          <w:i/>
          <w:iCs/>
        </w:rPr>
        <w:t xml:space="preserve">Iyere</w:t>
      </w:r>
      <w:r>
        <w:t xml:space="preserve"> </w:t>
      </w:r>
      <w:r>
        <w:t xml:space="preserve">concerned a physical signature; the court expressly distinguished electronic ones. Use it for the</w:t>
      </w:r>
      <w:r>
        <w:t xml:space="preserve"> </w:t>
      </w:r>
      <w:r>
        <w:rPr>
          <w:i/>
          <w:iCs/>
        </w:rPr>
        <w:t xml:space="preserve">burden framework</w:t>
      </w:r>
      <w:r>
        <w:t xml:space="preserve"> </w:t>
      </w:r>
      <w:r>
        <w:t xml:space="preserve">(</w:t>
      </w:r>
      <w:r>
        <w:t xml:space="preserve">“carried in any manner”</w:t>
      </w:r>
      <w:r>
        <w:t xml:space="preserve">) rather than as direct e-signature authority.</w:t>
      </w:r>
    </w:p>
    <w:bookmarkEnd w:id="11"/>
    <w:bookmarkStart w:id="12" w:name="X8bdd126795ed23a883f1bffe2761049f8bd4915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People v. Hawkins</w:t>
      </w:r>
      <w:r>
        <w:t xml:space="preserve"> </w:t>
      </w:r>
      <w:r>
        <w:t xml:space="preserve">(2002) 98 Cal.App.4th 1428 →</w:t>
      </w:r>
      <w:r>
        <w:t xml:space="preserve"> </w:t>
      </w:r>
      <w:r>
        <w:rPr>
          <w:b/>
          <w:bCs/>
        </w:rPr>
        <w:t xml:space="preserve">§ 23 (Admissibility of Ticketing Records)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Backstops the Evid. Code § 1552 presumption that printed representations of computer-generated information are presumed accurate.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it belongs:</w:t>
      </w:r>
      <w:r>
        <w:t xml:space="preserve"> </w:t>
      </w:r>
      <w:r>
        <w:t xml:space="preserve">Pre-2020 but stronger than</w:t>
      </w:r>
      <w:r>
        <w:t xml:space="preserve"> </w:t>
      </w:r>
      <w:r>
        <w:rPr>
          <w:i/>
          <w:iCs/>
        </w:rPr>
        <w:t xml:space="preserve">Aguimatang</w:t>
      </w:r>
      <w:r>
        <w:t xml:space="preserve"> </w:t>
      </w:r>
      <w:r>
        <w:t xml:space="preserve">alone on the narrow</w:t>
      </w:r>
      <w:r>
        <w:t xml:space="preserve"> </w:t>
      </w:r>
      <w:r>
        <w:t xml:space="preserve">“presumption covers the printed record”</w:t>
      </w:r>
      <w:r>
        <w:t xml:space="preserve"> </w:t>
      </w:r>
      <w:r>
        <w:t xml:space="preserve">point. Add alongside</w:t>
      </w:r>
      <w:r>
        <w:t xml:space="preserve"> </w:t>
      </w:r>
      <w:r>
        <w:rPr>
          <w:i/>
          <w:iCs/>
        </w:rPr>
        <w:t xml:space="preserve">Aguimatang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Jazayeri</w:t>
      </w:r>
      <w:r>
        <w:t xml:space="preserve"> </w:t>
      </w:r>
      <w:r>
        <w:t xml:space="preserve">to pre-empt any</w:t>
      </w:r>
      <w:r>
        <w:t xml:space="preserve"> </w:t>
      </w:r>
      <w:r>
        <w:t xml:space="preserve">“the presumption doesn’t cover accuracy of content”</w:t>
      </w:r>
      <w:r>
        <w:t xml:space="preserve"> </w:t>
      </w:r>
      <w:r>
        <w:t xml:space="preserve">objection.</w:t>
      </w:r>
    </w:p>
    <w:bookmarkEnd w:id="12"/>
    <w:bookmarkEnd w:id="13"/>
    <w:bookmarkStart w:id="16" w:name="grade-b-consider"/>
    <w:p>
      <w:pPr>
        <w:pStyle w:val="Heading2"/>
      </w:pPr>
      <w:r>
        <w:t xml:space="preserve">Grade B — Consider</w:t>
      </w:r>
    </w:p>
    <w:bookmarkStart w:id="14" w:name="X5228e2e81db88c28d32d5f70da951e212f621c0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Constellation-F, LLC v. World Trading 23, Inc.</w:t>
      </w:r>
      <w:r>
        <w:t xml:space="preserve"> </w:t>
      </w:r>
      <w:r>
        <w:t xml:space="preserve">(2020) 45 Cal.App.5th 22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A lease provision imposing a 150% holdover rent is not an unenforceable penalty under § 1671; § 1671 targets</w:t>
      </w:r>
      <w:r>
        <w:t xml:space="preserve"> </w:t>
      </w:r>
      <w:r>
        <w:t xml:space="preserve">“unfair and unreasonable coercion arising from an imbalance of bargaining power.”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worth considering:</w:t>
      </w:r>
      <w:r>
        <w:t xml:space="preserve"> </w:t>
      </w:r>
      <w:r>
        <w:t xml:space="preserve">Useful analogy — the $150/hr cancellation rate reflects arms-length allocation between businesses, not coercion. Not as directly on-point as</w:t>
      </w:r>
      <w:r>
        <w:t xml:space="preserve"> </w:t>
      </w:r>
      <w:r>
        <w:rPr>
          <w:i/>
          <w:iCs/>
        </w:rPr>
        <w:t xml:space="preserve">Gormley</w:t>
      </w:r>
      <w:r>
        <w:t xml:space="preserve">; use as supporting citation.</w:t>
      </w:r>
    </w:p>
    <w:bookmarkEnd w:id="14"/>
    <w:bookmarkStart w:id="15" w:name="Xf47503dddb968a19416e48c2f4d8b44d8fac80f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Ramirez v. Charter Communications, Inc.</w:t>
      </w:r>
      <w:r>
        <w:t xml:space="preserve"> </w:t>
      </w:r>
      <w:r>
        <w:t xml:space="preserve">(2024) 16 Cal.5th 478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Discovery limitations in arbitration agreements are permissible so long as</w:t>
      </w:r>
      <w:r>
        <w:t xml:space="preserve"> </w:t>
      </w:r>
      <w:r>
        <w:t xml:space="preserve">“adequate”</w:t>
      </w:r>
      <w:r>
        <w:t xml:space="preserve"> </w:t>
      </w:r>
      <w:r>
        <w:t xml:space="preserve">to vindicate rights; unconscionability assessed at time of formation, not hindsight; multiple unconscionable provisions trigger a</w:t>
      </w:r>
      <w:r>
        <w:t xml:space="preserve"> </w:t>
      </w:r>
      <w:r>
        <w:rPr>
          <w:b/>
          <w:bCs/>
        </w:rPr>
        <w:t xml:space="preserve">qualitative</w:t>
      </w:r>
      <w:r>
        <w:t xml:space="preserve"> </w:t>
      </w:r>
      <w:r>
        <w:t xml:space="preserve">severance analysis.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 worth considering:</w:t>
      </w:r>
      <w:r>
        <w:t xml:space="preserve"> </w:t>
      </w:r>
      <w:r>
        <w:t xml:space="preserve">Leading 2024 California Supreme Court arbitration decision. Employment-origin but the timing rule and qualitative severance framework generalize. Cite defensively in § 15 if Vintage attacks the AAA clause on unconscionability grounds.</w:t>
      </w:r>
    </w:p>
    <w:bookmarkEnd w:id="15"/>
    <w:bookmarkEnd w:id="16"/>
    <w:bookmarkStart w:id="20" w:name="X23dec6ff37421906e96ca630f68a13b1afb44a7"/>
    <w:p>
      <w:pPr>
        <w:pStyle w:val="Heading2"/>
      </w:pPr>
      <w:r>
        <w:t xml:space="preserve">Grade C — Adverse; have ready to distinguish</w:t>
      </w:r>
    </w:p>
    <w:bookmarkStart w:id="17" w:name="X9389c96ca5cb63bb6640f298efe840fd93f00ba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Bannister v. Marinidence Opco, LLC</w:t>
      </w:r>
      <w:r>
        <w:t xml:space="preserve"> </w:t>
      </w:r>
      <w:r>
        <w:t xml:space="preserve">(2021) 64 Cal.App.5th 541 (e-signature authentication)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Employer failed to authenticate e-signature under § 1633.9(a) where</w:t>
      </w:r>
      <w:r>
        <w:t xml:space="preserve"> </w:t>
      </w:r>
      <w:r>
        <w:t xml:space="preserve">“Client ID”</w:t>
      </w:r>
      <w:r>
        <w:t xml:space="preserve">/pin was not employee-specific; HR staff may have signed for the employee.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Vintage playbook:</w:t>
      </w:r>
      <w:r>
        <w:t xml:space="preserve"> </w:t>
      </w:r>
      <w:r>
        <w:t xml:space="preserve">If Erica Garcia denies signing the 5/4/2023 Agreement.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Distinguish:</w:t>
      </w:r>
      <w:r>
        <w:t xml:space="preserve"> </w:t>
      </w:r>
      <w:r>
        <w:t xml:space="preserve">Garcia’s DocuSign was tied to her Vintage corporate email; the Certificate of Completion (Envelope ID B679C550-E41C-4E31-BE34-7F8FFF437C3D) shows unique authentication, IP, and timestamp; 27 months of paid, ratified performance independently settle attribution under § 1633.9(a).</w:t>
      </w:r>
    </w:p>
    <w:bookmarkEnd w:id="17"/>
    <w:bookmarkStart w:id="18" w:name="X634155c07f90de0517efbe50bd612b4b154d33c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Honchariw v. FJM Private Mortgage Fund, LLC</w:t>
      </w:r>
      <w:r>
        <w:t xml:space="preserve"> </w:t>
      </w:r>
      <w:r>
        <w:t xml:space="preserve">(2022) 83 Cal.App.5th 893 (late fees as penalty)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Late-payment fees assessed against full loan principal violated § 1671 as unenforceable penalties. Cal. Supreme Court denied review 12/21/2022.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Vintage playbook:</w:t>
      </w:r>
      <w:r>
        <w:t xml:space="preserve"> </w:t>
      </w:r>
      <w:r>
        <w:t xml:space="preserve">Likely citation for the penalty argument against the cancellation fee.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Distinguish:</w:t>
      </w:r>
      <w:r>
        <w:t xml:space="preserve"> </w:t>
      </w:r>
      <w:r>
        <w:rPr>
          <w:i/>
          <w:iCs/>
        </w:rPr>
        <w:t xml:space="preserve">Honchariw</w:t>
      </w:r>
      <w:r>
        <w:t xml:space="preserve"> </w:t>
      </w:r>
      <w:r>
        <w:t xml:space="preserve">penalized a one-time default triggering fees on the</w:t>
      </w:r>
      <w:r>
        <w:t xml:space="preserve"> </w:t>
      </w:r>
      <w:r>
        <w:rPr>
          <w:i/>
          <w:iCs/>
        </w:rPr>
        <w:t xml:space="preserve">entire</w:t>
      </w:r>
      <w:r>
        <w:t xml:space="preserve"> </w:t>
      </w:r>
      <w:r>
        <w:t xml:space="preserve">balance (classic disproportionality). The Technijian rate applies only to hours</w:t>
      </w:r>
      <w:r>
        <w:t xml:space="preserve"> </w:t>
      </w:r>
      <w:r>
        <w:rPr>
          <w:i/>
          <w:iCs/>
        </w:rPr>
        <w:t xml:space="preserve">actually worked</w:t>
      </w:r>
      <w:r>
        <w:t xml:space="preserve"> </w:t>
      </w:r>
      <w:r>
        <w:t xml:space="preserve">at overage, tied to contemporaneously measured usage, and sits at or below the Agreement’s own</w:t>
      </w:r>
      <w:r>
        <w:t xml:space="preserve"> </w:t>
      </w:r>
      <w:r>
        <w:t xml:space="preserve">“Out of Contract”</w:t>
      </w:r>
      <w:r>
        <w:t xml:space="preserve"> </w:t>
      </w:r>
      <w:r>
        <w:t xml:space="preserve">rates ($150/$200/hr).</w:t>
      </w:r>
    </w:p>
    <w:bookmarkEnd w:id="18"/>
    <w:bookmarkStart w:id="19" w:name="Xc736693a1111947d673956976c4135ff147f483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Graylee v. Castro</w:t>
      </w:r>
      <w:r>
        <w:t xml:space="preserve"> </w:t>
      </w:r>
      <w:r>
        <w:t xml:space="preserve">(2020) 52 Cal.App.5th 1107 (§ 1671(b) stipulated-judgment LD invalid)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Holding:</w:t>
      </w:r>
      <w:r>
        <w:t xml:space="preserve"> </w:t>
      </w:r>
      <w:r>
        <w:t xml:space="preserve">A stipulated-judgment LD provision violated § 1671(b) because no reasonable relationship to anticipated damages.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Vintage playbook:</w:t>
      </w:r>
      <w:r>
        <w:t xml:space="preserve"> </w:t>
      </w:r>
      <w:r>
        <w:t xml:space="preserve">Backup penalty argument.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Distinguish:</w:t>
      </w:r>
      <w:r>
        <w:t xml:space="preserve"> </w:t>
      </w:r>
      <w:r>
        <w:rPr>
          <w:i/>
          <w:iCs/>
        </w:rPr>
        <w:t xml:space="preserve">Graylee</w:t>
      </w:r>
      <w:r>
        <w:t xml:space="preserve"> </w:t>
      </w:r>
      <w:r>
        <w:t xml:space="preserve">involved a residential-tenancy stipulated judgment, not a negotiated commercial-services rate tied to contemporaneously measured hours between sophisticated commercial parties.</w:t>
      </w:r>
    </w:p>
    <w:bookmarkEnd w:id="19"/>
    <w:bookmarkEnd w:id="20"/>
    <w:bookmarkStart w:id="23" w:name="awareness-only"/>
    <w:p>
      <w:pPr>
        <w:pStyle w:val="Heading2"/>
      </w:pPr>
      <w:r>
        <w:t xml:space="preserve">Awareness only</w:t>
      </w:r>
    </w:p>
    <w:bookmarkStart w:id="21" w:name="X1dd6d1974ef7ff4107a0b63875c5491eb3ea47e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Hohenshelt v. Superior Court</w:t>
      </w:r>
      <w:r>
        <w:t xml:space="preserve"> </w:t>
      </w:r>
      <w:r>
        <w:t xml:space="preserve">(2025) (CCP § 1281.97/.98 fee-payment deadlines)</w:t>
      </w:r>
    </w:p>
    <w:p>
      <w:pPr>
        <w:pStyle w:val="FirstParagraph"/>
      </w:pPr>
      <w:r>
        <w:t xml:space="preserve">FAA does not preempt; nonpayment waives only when willful, grossly negligent, or fraudulent. Relevant to fee administration</w:t>
      </w:r>
      <w:r>
        <w:t xml:space="preserve"> </w:t>
      </w:r>
      <w:r>
        <w:rPr>
          <w:i/>
          <w:iCs/>
        </w:rPr>
        <w:t xml:space="preserve">once arbitration is under way</w:t>
      </w:r>
      <w:r>
        <w:t xml:space="preserve">, not to enforceability of the arbitration agreement.</w:t>
      </w:r>
    </w:p>
    <w:bookmarkEnd w:id="21"/>
    <w:bookmarkStart w:id="22" w:name="Xbec65141aba49b6af8418f7ca7eff2351a7fbd9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New England Country Foods, LLC v. Vanlaw Food Products</w:t>
      </w:r>
      <w:r>
        <w:t xml:space="preserve"> </w:t>
      </w:r>
      <w:r>
        <w:t xml:space="preserve">(2025) (§ 1668 willful injury)</w:t>
      </w:r>
    </w:p>
    <w:p>
      <w:pPr>
        <w:pStyle w:val="FirstParagraph"/>
      </w:pPr>
      <w:r>
        <w:t xml:space="preserve">§ 1668 bars contractual limitation-of-liability for willful injury. Only relevant if Vintage pivots to a § 1668 theory characterizing the cancellation fee as an exculpatory provision.</w:t>
      </w:r>
    </w:p>
    <w:bookmarkEnd w:id="22"/>
    <w:bookmarkEnd w:id="23"/>
    <w:bookmarkStart w:id="24" w:name="what-is-stable-no-upgrade-needed"/>
    <w:p>
      <w:pPr>
        <w:pStyle w:val="Heading2"/>
      </w:pPr>
      <w:r>
        <w:t xml:space="preserve">What is stable (no upgrade needed)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Memo §</w:t>
            </w:r>
          </w:p>
        </w:tc>
        <w:tc>
          <w:tcPr/>
          <w:p>
            <w:pPr>
              <w:pStyle w:val="Compact"/>
            </w:pPr>
            <w:r>
              <w:t xml:space="preserve">Doctrine</w:t>
            </w:r>
          </w:p>
        </w:tc>
        <w:tc>
          <w:tcPr/>
          <w:p>
            <w:pPr>
              <w:pStyle w:val="Compac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 8–10</w:t>
            </w:r>
          </w:p>
        </w:tc>
        <w:tc>
          <w:tcPr/>
          <w:p>
            <w:pPr>
              <w:pStyle w:val="Compact"/>
            </w:pPr>
            <w:r>
              <w:t xml:space="preserve">Course of performance / waiver / ratification</w:t>
            </w:r>
          </w:p>
        </w:tc>
        <w:tc>
          <w:tcPr/>
          <w:p>
            <w:pPr>
              <w:pStyle w:val="Compact"/>
            </w:pPr>
            <w:r>
              <w:t xml:space="preserve">Settled — no material 2020–2026 opinion improves on</w:t>
            </w:r>
            <w:r>
              <w:t xml:space="preserve"> </w:t>
            </w:r>
            <w:r>
              <w:rPr>
                <w:i/>
                <w:iCs/>
              </w:rPr>
              <w:t xml:space="preserve">Kashmiri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Employers Reinsurance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Wind Dancer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Cobb</w:t>
            </w:r>
            <w:r>
              <w:t xml:space="preserve">, or § 1303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 11</w:t>
            </w:r>
          </w:p>
        </w:tc>
        <w:tc>
          <w:tcPr/>
          <w:p>
            <w:pPr>
              <w:pStyle w:val="Compact"/>
            </w:pPr>
            <w:r>
              <w:t xml:space="preserve">§ 1717 fee reciprocity via § 5.02 indemnity</w:t>
            </w:r>
          </w:p>
        </w:tc>
        <w:tc>
          <w:tcPr/>
          <w:p>
            <w:pPr>
              <w:pStyle w:val="Compact"/>
            </w:pPr>
            <w:r>
              <w:t xml:space="preserve">Settled —</w:t>
            </w:r>
            <w:r>
              <w:t xml:space="preserve"> </w:t>
            </w:r>
            <w:r>
              <w:rPr>
                <w:i/>
                <w:iCs/>
              </w:rPr>
              <w:t xml:space="preserve">Santisas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PLCM</w:t>
            </w:r>
            <w:r>
              <w:t xml:space="preserve"> </w:t>
            </w:r>
            <w:r>
              <w:t xml:space="preserve">remain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 12</w:t>
            </w:r>
          </w:p>
        </w:tc>
        <w:tc>
          <w:tcPr/>
          <w:p>
            <w:pPr>
              <w:pStyle w:val="Compact"/>
            </w:pPr>
            <w:r>
              <w:t xml:space="preserve">§ 3287(a) prejudgment interest / certainty</w:t>
            </w:r>
          </w:p>
        </w:tc>
        <w:tc>
          <w:tcPr/>
          <w:p>
            <w:pPr>
              <w:pStyle w:val="Compact"/>
            </w:pPr>
            <w:r>
              <w:t xml:space="preserve">Settled —</w:t>
            </w:r>
            <w:r>
              <w:t xml:space="preserve"> </w:t>
            </w:r>
            <w:r>
              <w:rPr>
                <w:i/>
                <w:iCs/>
              </w:rPr>
              <w:t xml:space="preserve">Wisper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Howard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Children’s Hospital v. Bontá</w:t>
            </w:r>
            <w:r>
              <w:t xml:space="preserve"> </w:t>
            </w:r>
            <w:r>
              <w:t xml:space="preserve">remain canonical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§ 23</w:t>
            </w:r>
          </w:p>
        </w:tc>
        <w:tc>
          <w:tcPr/>
          <w:p>
            <w:pPr>
              <w:pStyle w:val="Compact"/>
            </w:pPr>
            <w:r>
              <w:t xml:space="preserve">Business-records foundation</w:t>
            </w:r>
          </w:p>
        </w:tc>
        <w:tc>
          <w:tcPr/>
          <w:p>
            <w:pPr>
              <w:pStyle w:val="Compact"/>
            </w:pPr>
            <w:r>
              <w:t xml:space="preserve">Stable —</w:t>
            </w:r>
            <w:r>
              <w:t xml:space="preserve"> </w:t>
            </w:r>
            <w:r>
              <w:rPr>
                <w:i/>
                <w:iCs/>
              </w:rPr>
              <w:t xml:space="preserve">Aguimatang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Jazayeri</w:t>
            </w:r>
            <w:r>
              <w:t xml:space="preserve">, Evid. Code § 1271/1552/1553 remain good law</w:t>
            </w:r>
          </w:p>
        </w:tc>
      </w:tr>
    </w:tbl>
    <w:p>
      <w:pPr>
        <w:pStyle w:val="BodyText"/>
      </w:pPr>
      <w:r>
        <w:t xml:space="preserve">Worth a one-sentence affirmation in the memo that the doctrine is stable post-2020 — pre-empts any</w:t>
      </w:r>
      <w:r>
        <w:t xml:space="preserve"> </w:t>
      </w:r>
      <w:r>
        <w:t xml:space="preserve">“your authority is stale”</w:t>
      </w:r>
      <w:r>
        <w:t xml:space="preserve"> </w:t>
      </w:r>
      <w:r>
        <w:t xml:space="preserve">attack.</w:t>
      </w:r>
    </w:p>
    <w:bookmarkEnd w:id="24"/>
    <w:bookmarkStart w:id="25" w:name="summary-table-ranked"/>
    <w:p>
      <w:pPr>
        <w:pStyle w:val="Heading2"/>
      </w:pPr>
      <w:r>
        <w:t xml:space="preserve">Summary table — ranked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Gormley v. Gonzalez</w:t>
            </w:r>
            <w:r>
              <w:t xml:space="preserve">, 84 Cal.App.5th 72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§ 1671(b) LD enforceability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Cite (§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Iyere v. Wise Auto Group</w:t>
            </w:r>
            <w:r>
              <w:t xml:space="preserve">, 87 Cal.App.5th 747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Signature authentication burden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Cite (§ 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People v. Hawkins</w:t>
            </w:r>
            <w:r>
              <w:t xml:space="preserve">, 98 Cal.App.4th 1428</w:t>
            </w:r>
          </w:p>
        </w:tc>
        <w:tc>
          <w:tcPr/>
          <w:p>
            <w:pPr>
              <w:pStyle w:val="Compact"/>
            </w:pPr>
            <w:r>
              <w:t xml:space="preserve">2002</w:t>
            </w:r>
          </w:p>
        </w:tc>
        <w:tc>
          <w:tcPr/>
          <w:p>
            <w:pPr>
              <w:pStyle w:val="Compact"/>
            </w:pPr>
            <w:r>
              <w:t xml:space="preserve">§ 1552 presumption scope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Cite (§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Constellation-F v. World Trading 23</w:t>
            </w:r>
            <w:r>
              <w:t xml:space="preserve">, 45 Cal.App.5th 22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§ 1671 commercial/penalty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Consider (§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Ramirez v. Charter</w:t>
            </w:r>
            <w:r>
              <w:t xml:space="preserve">, 16 Cal.5th 478</w:t>
            </w:r>
          </w:p>
        </w:tc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t xml:space="preserve">Unconscionability timing + severance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Consider (§ 15)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Bannister v. Marinidence</w:t>
            </w:r>
            <w:r>
              <w:t xml:space="preserve">, 64 Cal.App.5th 541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E-sig auth (ADVERSE)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Flag — prep distinguish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Honchariw v. FJM</w:t>
            </w:r>
            <w:r>
              <w:t xml:space="preserve">, 83 Cal.App.5th 893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§ 1671 penalty (ADVERSE)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Flag — prep distinguish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Graylee v. Castro</w:t>
            </w:r>
            <w:r>
              <w:t xml:space="preserve">, 52 Cal.App.5th 1107</w:t>
            </w:r>
          </w:p>
        </w:tc>
        <w:tc>
          <w:tcPr/>
          <w:p>
            <w:pPr>
              <w:pStyle w:val="Compact"/>
            </w:pPr>
            <w:r>
              <w:t xml:space="preserve">2020</w:t>
            </w:r>
          </w:p>
        </w:tc>
        <w:tc>
          <w:tcPr/>
          <w:p>
            <w:pPr>
              <w:pStyle w:val="Compact"/>
            </w:pPr>
            <w:r>
              <w:t xml:space="preserve">§ 1671 stipulated judgments (ADVERSE)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Flag — prep distinguish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Hohenshelt v. Superior Court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§ 1281.98 FAA preemption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Awareness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New England Country Foods v. Vanlaw</w:t>
            </w:r>
            <w:r>
              <w:t xml:space="preserve">, S282968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t xml:space="preserve">§ 1668 willful injury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Awareness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44" w:name="Xc9683eba3e89ab36b2cbce5f79eab25837f2d29"/>
    <w:p>
      <w:pPr>
        <w:pStyle w:val="Heading2"/>
      </w:pPr>
      <w:r>
        <w:t xml:space="preserve">Research sources (all linked — Shepardize before citing)</w:t>
      </w:r>
    </w:p>
    <w:p>
      <w:pPr>
        <w:pStyle w:val="Compact"/>
        <w:numPr>
          <w:ilvl w:val="0"/>
          <w:numId w:val="1009"/>
        </w:numPr>
      </w:pPr>
      <w:hyperlink r:id="rId26">
        <w:r>
          <w:rPr>
            <w:rStyle w:val="Hyperlink"/>
          </w:rPr>
          <w:t xml:space="preserve">Gormley v. Gonzalez (Justia)</w:t>
        </w:r>
      </w:hyperlink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Hyperlink"/>
          </w:rPr>
          <w:t xml:space="preserve">Gormley commentary — Kibler Fowler &amp; Cave</w:t>
        </w:r>
      </w:hyperlink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Hyperlink"/>
          </w:rPr>
          <w:t xml:space="preserve">Constellation-F v. World Trading 23 (Justia)</w:t>
        </w:r>
      </w:hyperlink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Hyperlink"/>
          </w:rPr>
          <w:t xml:space="preserve">Constellation-F commentary — Allen Matkins</w:t>
        </w:r>
      </w:hyperlink>
    </w:p>
    <w:p>
      <w:pPr>
        <w:pStyle w:val="Compact"/>
        <w:numPr>
          <w:ilvl w:val="0"/>
          <w:numId w:val="1009"/>
        </w:numPr>
      </w:pPr>
      <w:hyperlink r:id="rId30">
        <w:r>
          <w:rPr>
            <w:rStyle w:val="Hyperlink"/>
          </w:rPr>
          <w:t xml:space="preserve">Iyere v. Wise Auto Group (Justia)</w:t>
        </w:r>
      </w:hyperlink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Iyere v. Wise Auto Group (FindLaw)</w:t>
        </w:r>
      </w:hyperlink>
    </w:p>
    <w:p>
      <w:pPr>
        <w:pStyle w:val="Compact"/>
        <w:numPr>
          <w:ilvl w:val="0"/>
          <w:numId w:val="1009"/>
        </w:numPr>
      </w:pPr>
      <w:hyperlink r:id="rId32">
        <w:r>
          <w:rPr>
            <w:rStyle w:val="Hyperlink"/>
          </w:rPr>
          <w:t xml:space="preserve">Bannister v. Marinidence Opco (Justia)</w:t>
        </w:r>
      </w:hyperlink>
    </w:p>
    <w:p>
      <w:pPr>
        <w:pStyle w:val="Compact"/>
        <w:numPr>
          <w:ilvl w:val="0"/>
          <w:numId w:val="1009"/>
        </w:numPr>
      </w:pPr>
      <w:hyperlink r:id="rId33">
        <w:r>
          <w:rPr>
            <w:rStyle w:val="Hyperlink"/>
          </w:rPr>
          <w:t xml:space="preserve">Ramirez v. Charter Communications (Justia)</w:t>
        </w:r>
      </w:hyperlink>
    </w:p>
    <w:p>
      <w:pPr>
        <w:pStyle w:val="Compact"/>
        <w:numPr>
          <w:ilvl w:val="0"/>
          <w:numId w:val="1009"/>
        </w:numPr>
      </w:pPr>
      <w:hyperlink r:id="rId34">
        <w:r>
          <w:rPr>
            <w:rStyle w:val="Hyperlink"/>
          </w:rPr>
          <w:t xml:space="preserve">Ramirez commentary — Gibson Dunn</w:t>
        </w:r>
      </w:hyperlink>
    </w:p>
    <w:p>
      <w:pPr>
        <w:pStyle w:val="Compact"/>
        <w:numPr>
          <w:ilvl w:val="0"/>
          <w:numId w:val="1009"/>
        </w:numPr>
      </w:pPr>
      <w:hyperlink r:id="rId35">
        <w:r>
          <w:rPr>
            <w:rStyle w:val="Hyperlink"/>
          </w:rPr>
          <w:t xml:space="preserve">New England Country Foods v. Vanlaw (Justia)</w:t>
        </w:r>
      </w:hyperlink>
    </w:p>
    <w:p>
      <w:pPr>
        <w:pStyle w:val="Compact"/>
        <w:numPr>
          <w:ilvl w:val="0"/>
          <w:numId w:val="1009"/>
        </w:numPr>
      </w:pPr>
      <w:hyperlink r:id="rId36">
        <w:r>
          <w:rPr>
            <w:rStyle w:val="Hyperlink"/>
          </w:rPr>
          <w:t xml:space="preserve">Hohenshelt commentary — DLA Piper</w:t>
        </w:r>
      </w:hyperlink>
    </w:p>
    <w:p>
      <w:pPr>
        <w:pStyle w:val="Compact"/>
        <w:numPr>
          <w:ilvl w:val="0"/>
          <w:numId w:val="1009"/>
        </w:numPr>
      </w:pPr>
      <w:hyperlink r:id="rId37">
        <w:r>
          <w:rPr>
            <w:rStyle w:val="Hyperlink"/>
          </w:rPr>
          <w:t xml:space="preserve">Graylee v. Castro (Justia)</w:t>
        </w:r>
      </w:hyperlink>
    </w:p>
    <w:p>
      <w:pPr>
        <w:pStyle w:val="Compact"/>
        <w:numPr>
          <w:ilvl w:val="0"/>
          <w:numId w:val="1009"/>
        </w:numPr>
      </w:pPr>
      <w:hyperlink r:id="rId38">
        <w:r>
          <w:rPr>
            <w:rStyle w:val="Hyperlink"/>
          </w:rPr>
          <w:t xml:space="preserve">Honchariw v. FJM commentary — Dinsmore</w:t>
        </w:r>
      </w:hyperlink>
    </w:p>
    <w:p>
      <w:pPr>
        <w:pStyle w:val="Compact"/>
        <w:numPr>
          <w:ilvl w:val="0"/>
          <w:numId w:val="1009"/>
        </w:numPr>
      </w:pPr>
      <w:hyperlink r:id="rId39">
        <w:r>
          <w:rPr>
            <w:rStyle w:val="Hyperlink"/>
          </w:rPr>
          <w:t xml:space="preserve">Fabian v. Renovate America commentary — Hudson Cook</w:t>
        </w:r>
      </w:hyperlink>
    </w:p>
    <w:p>
      <w:pPr>
        <w:pStyle w:val="Compact"/>
        <w:numPr>
          <w:ilvl w:val="0"/>
          <w:numId w:val="1009"/>
        </w:numPr>
      </w:pPr>
      <w:hyperlink r:id="rId40">
        <w:r>
          <w:rPr>
            <w:rStyle w:val="Hyperlink"/>
          </w:rPr>
          <w:t xml:space="preserve">Evidence Code § 1271 commentary — BMBR</w:t>
        </w:r>
      </w:hyperlink>
    </w:p>
    <w:p>
      <w:pPr>
        <w:pStyle w:val="Compact"/>
        <w:numPr>
          <w:ilvl w:val="0"/>
          <w:numId w:val="1009"/>
        </w:numPr>
      </w:pPr>
      <w:hyperlink r:id="rId41">
        <w:r>
          <w:rPr>
            <w:rStyle w:val="Hyperlink"/>
          </w:rPr>
          <w:t xml:space="preserve">Admissibility of Computer Documents at Trial — Plaintiff Magazine</w:t>
        </w:r>
      </w:hyperlink>
    </w:p>
    <w:p>
      <w:pPr>
        <w:pStyle w:val="Compact"/>
        <w:numPr>
          <w:ilvl w:val="0"/>
          <w:numId w:val="1009"/>
        </w:numPr>
      </w:pPr>
      <w:hyperlink r:id="rId42">
        <w:r>
          <w:rPr>
            <w:rStyle w:val="Hyperlink"/>
          </w:rPr>
          <w:t xml:space="preserve">CACI No. 310 Acceptance by Silence (Justia 2025)</w:t>
        </w:r>
      </w:hyperlink>
    </w:p>
    <w:p>
      <w:pPr>
        <w:pStyle w:val="Compact"/>
        <w:numPr>
          <w:ilvl w:val="0"/>
          <w:numId w:val="1009"/>
        </w:numPr>
      </w:pPr>
      <w:hyperlink r:id="rId43">
        <w:r>
          <w:rPr>
            <w:rStyle w:val="Hyperlink"/>
          </w:rPr>
          <w:t xml:space="preserve">Mayer Brown — Course of Performance Principles (April 2025)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https://bmbr.com/how-california-evidence-code-section-1271-makes-the-case-for-good-business-records/" TargetMode="External" /><Relationship Type="http://schemas.openxmlformats.org/officeDocument/2006/relationships/hyperlink" Id="rId31" Target="https://caselaw.findlaw.com/court/ca-court-of-appeal/2178125.html" TargetMode="External" /><Relationship Type="http://schemas.openxmlformats.org/officeDocument/2006/relationships/hyperlink" Id="rId39" Target="https://hudsoncook.com/article/california-court-finds-business-could-not-verify-consumers-electronic-signature-despite-docusign-markers/" TargetMode="External" /><Relationship Type="http://schemas.openxmlformats.org/officeDocument/2006/relationships/hyperlink" Id="rId27" Target="https://kfc.law/liquidated-damages-non-consumer-contracts-gormley-v-gonzalez/" TargetMode="External" /><Relationship Type="http://schemas.openxmlformats.org/officeDocument/2006/relationships/hyperlink" Id="rId36" Target="https://knowledge.dlapiper.com/dlapiperknowledge/globalemploymentlatestdevelopments/2025/california-supreme-court-clarifies-faa-preemption-relief-from-forfeiture-in-arbitration-fee-disputes" TargetMode="External" /><Relationship Type="http://schemas.openxmlformats.org/officeDocument/2006/relationships/hyperlink" Id="rId28" Target="https://law.justia.com/cases/california/court-of-appeal/2020/b293033.html" TargetMode="External" /><Relationship Type="http://schemas.openxmlformats.org/officeDocument/2006/relationships/hyperlink" Id="rId37" Target="https://law.justia.com/cases/california/court-of-appeal/2020/g057901.html" TargetMode="External" /><Relationship Type="http://schemas.openxmlformats.org/officeDocument/2006/relationships/hyperlink" Id="rId32" Target="https://law.justia.com/cases/california/court-of-appeal/2021/a159815.html" TargetMode="External" /><Relationship Type="http://schemas.openxmlformats.org/officeDocument/2006/relationships/hyperlink" Id="rId26" Target="https://law.justia.com/cases/california/court-of-appeal/2022/c093201.html" TargetMode="External" /><Relationship Type="http://schemas.openxmlformats.org/officeDocument/2006/relationships/hyperlink" Id="rId30" Target="https://law.justia.com/cases/california/court-of-appeal/2023/a163967.html" TargetMode="External" /><Relationship Type="http://schemas.openxmlformats.org/officeDocument/2006/relationships/hyperlink" Id="rId33" Target="https://law.justia.com/cases/california/supreme-court/2024/s273802.html" TargetMode="External" /><Relationship Type="http://schemas.openxmlformats.org/officeDocument/2006/relationships/hyperlink" Id="rId35" Target="https://law.justia.com/cases/california/supreme-court/2025/s282968.html" TargetMode="External" /><Relationship Type="http://schemas.openxmlformats.org/officeDocument/2006/relationships/hyperlink" Id="rId41" Target="https://plaintiffmagazine.com/recent-issues/item/admissibility-of-computer-documents-at-trial" TargetMode="External" /><Relationship Type="http://schemas.openxmlformats.org/officeDocument/2006/relationships/hyperlink" Id="rId29" Target="https://www.allenmatkins.com/real-ideas/new-appellate-court-decision-provides-intriguing-new-angle-on-what-constitutes-an-unenforceable-penalty.html" TargetMode="External" /><Relationship Type="http://schemas.openxmlformats.org/officeDocument/2006/relationships/hyperlink" Id="rId38" Target="https://www.dinsmore.com/publications/honchariw-the-enforceability-of-late-fees-in-california/" TargetMode="External" /><Relationship Type="http://schemas.openxmlformats.org/officeDocument/2006/relationships/hyperlink" Id="rId34" Target="https://www.gibsondunn.com/california-supreme-court-holds-that-courts-must-conduct-qualitative-severance-analysis-even-if-they-find-multiple-unconscionable-provisions-in-an-arbitration-agreement/" TargetMode="External" /><Relationship Type="http://schemas.openxmlformats.org/officeDocument/2006/relationships/hyperlink" Id="rId42" Target="https://www.justia.com/trials-litigation/docs/caci/300/310/" TargetMode="External" /><Relationship Type="http://schemas.openxmlformats.org/officeDocument/2006/relationships/hyperlink" Id="rId43" Target="https://www.mayerbrown.com/en/insights/publications/2025/04/understanding-how-course-of-performance-principles-impact-financin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bmbr.com/how-california-evidence-code-section-1271-makes-the-case-for-good-business-records/" TargetMode="External" /><Relationship Type="http://schemas.openxmlformats.org/officeDocument/2006/relationships/hyperlink" Id="rId31" Target="https://caselaw.findlaw.com/court/ca-court-of-appeal/2178125.html" TargetMode="External" /><Relationship Type="http://schemas.openxmlformats.org/officeDocument/2006/relationships/hyperlink" Id="rId39" Target="https://hudsoncook.com/article/california-court-finds-business-could-not-verify-consumers-electronic-signature-despite-docusign-markers/" TargetMode="External" /><Relationship Type="http://schemas.openxmlformats.org/officeDocument/2006/relationships/hyperlink" Id="rId27" Target="https://kfc.law/liquidated-damages-non-consumer-contracts-gormley-v-gonzalez/" TargetMode="External" /><Relationship Type="http://schemas.openxmlformats.org/officeDocument/2006/relationships/hyperlink" Id="rId36" Target="https://knowledge.dlapiper.com/dlapiperknowledge/globalemploymentlatestdevelopments/2025/california-supreme-court-clarifies-faa-preemption-relief-from-forfeiture-in-arbitration-fee-disputes" TargetMode="External" /><Relationship Type="http://schemas.openxmlformats.org/officeDocument/2006/relationships/hyperlink" Id="rId28" Target="https://law.justia.com/cases/california/court-of-appeal/2020/b293033.html" TargetMode="External" /><Relationship Type="http://schemas.openxmlformats.org/officeDocument/2006/relationships/hyperlink" Id="rId37" Target="https://law.justia.com/cases/california/court-of-appeal/2020/g057901.html" TargetMode="External" /><Relationship Type="http://schemas.openxmlformats.org/officeDocument/2006/relationships/hyperlink" Id="rId32" Target="https://law.justia.com/cases/california/court-of-appeal/2021/a159815.html" TargetMode="External" /><Relationship Type="http://schemas.openxmlformats.org/officeDocument/2006/relationships/hyperlink" Id="rId26" Target="https://law.justia.com/cases/california/court-of-appeal/2022/c093201.html" TargetMode="External" /><Relationship Type="http://schemas.openxmlformats.org/officeDocument/2006/relationships/hyperlink" Id="rId30" Target="https://law.justia.com/cases/california/court-of-appeal/2023/a163967.html" TargetMode="External" /><Relationship Type="http://schemas.openxmlformats.org/officeDocument/2006/relationships/hyperlink" Id="rId33" Target="https://law.justia.com/cases/california/supreme-court/2024/s273802.html" TargetMode="External" /><Relationship Type="http://schemas.openxmlformats.org/officeDocument/2006/relationships/hyperlink" Id="rId35" Target="https://law.justia.com/cases/california/supreme-court/2025/s282968.html" TargetMode="External" /><Relationship Type="http://schemas.openxmlformats.org/officeDocument/2006/relationships/hyperlink" Id="rId41" Target="https://plaintiffmagazine.com/recent-issues/item/admissibility-of-computer-documents-at-trial" TargetMode="External" /><Relationship Type="http://schemas.openxmlformats.org/officeDocument/2006/relationships/hyperlink" Id="rId29" Target="https://www.allenmatkins.com/real-ideas/new-appellate-court-decision-provides-intriguing-new-angle-on-what-constitutes-an-unenforceable-penalty.html" TargetMode="External" /><Relationship Type="http://schemas.openxmlformats.org/officeDocument/2006/relationships/hyperlink" Id="rId38" Target="https://www.dinsmore.com/publications/honchariw-the-enforceability-of-late-fees-in-california/" TargetMode="External" /><Relationship Type="http://schemas.openxmlformats.org/officeDocument/2006/relationships/hyperlink" Id="rId34" Target="https://www.gibsondunn.com/california-supreme-court-holds-that-courts-must-conduct-qualitative-severance-analysis-even-if-they-find-multiple-unconscionable-provisions-in-an-arbitration-agreement/" TargetMode="External" /><Relationship Type="http://schemas.openxmlformats.org/officeDocument/2006/relationships/hyperlink" Id="rId42" Target="https://www.justia.com/trials-litigation/docs/caci/300/310/" TargetMode="External" /><Relationship Type="http://schemas.openxmlformats.org/officeDocument/2006/relationships/hyperlink" Id="rId43" Target="https://www.mayerbrown.com/en/insights/publications/2025/04/understanding-how-course-of-performance-principles-impact-financin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2026-04-17T01:22:09Z</dcterms:created>
  <dcterms:modified xsi:type="dcterms:W3CDTF">2026-04-17T01:22:09Z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