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Open Sans" w:cs="Open Sans" w:eastAsia="Open Sans" w:hAnsi="Open Sans"/>
          <w:color w:val="59595B"/>
          <w:sz w:val="22"/>
          <w:szCs w:val="22"/>
        </w:rPr>
        <w:t xml:space="preserve"/>
      </w:r>
    </w:p>
    <w:p>
      <w:pPr>
        <w:spacing w:after="200"/>
        <w:jc w:val="center"/>
      </w:pPr>
      <w:r>
        <w:drawing>
          <wp:inline distT="0" distB="0" distL="0" distR="0">
            <wp:extent cx="2381250" cy="600075"/>
            <wp:effectExtent t="0" r="0" b="0" l="0"/>
            <wp:docPr id="1" name="logo" descr="Technijian Inc."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600075"/>
                    </a:xfrm>
                    <a:prstGeom prst="rect">
                      <a:avLst/>
                    </a:prstGeom>
                  </pic:spPr>
                </pic:pic>
              </a:graphicData>
            </a:graphic>
          </wp:inline>
        </w:drawing>
      </w:r>
    </w:p>
    <w:p>
      <w:pPr>
        <w:spacing w:after="600"/>
      </w:pPr>
      <w:r>
        <w:rPr>
          <w:rFonts w:ascii="Open Sans" w:cs="Open Sans" w:eastAsia="Open Sans" w:hAnsi="Open Sans"/>
          <w:color w:val="59595B"/>
          <w:sz w:val="22"/>
          <w:szCs w:val="22"/>
        </w:rPr>
        <w:t xml:space="preserve"/>
      </w:r>
    </w:p>
    <w:p>
      <w:pPr>
        <w:pBdr>
          <w:bottom w:val="single" w:color="F67D4B" w:sz="2"/>
        </w:pBdr>
        <w:spacing w:after="100" w:before="100"/>
      </w:pPr>
    </w:p>
    <w:p>
      <w:pPr>
        <w:spacing w:after="200" w:before="400"/>
        <w:jc w:val="center"/>
      </w:pPr>
      <w:r>
        <w:rPr>
          <w:rFonts w:ascii="Open Sans" w:cs="Open Sans" w:eastAsia="Open Sans" w:hAnsi="Open Sans"/>
          <w:b/>
          <w:bCs/>
          <w:color w:val="1A1A2E"/>
          <w:sz w:val="48"/>
          <w:szCs w:val="48"/>
        </w:rPr>
        <w:t xml:space="preserve">Statement of Work</w:t>
      </w:r>
    </w:p>
    <w:p>
      <w:pPr>
        <w:spacing w:after="400"/>
        <w:jc w:val="center"/>
      </w:pPr>
      <w:r>
        <w:rPr>
          <w:rFonts w:ascii="Open Sans" w:cs="Open Sans" w:eastAsia="Open Sans" w:hAnsi="Open Sans"/>
          <w:color w:val="59595B"/>
          <w:sz w:val="24"/>
          <w:szCs w:val="24"/>
        </w:rPr>
        <w:t xml:space="preserve">Managed Device Control Deployment — American Fundstars Financial Group LLC</w:t>
      </w:r>
    </w:p>
    <w:p>
      <w:pPr>
        <w:pBdr>
          <w:bottom w:val="single" w:color="F67D4B" w:sz="2"/>
        </w:pBdr>
        <w:spacing w:after="100" w:before="100"/>
      </w:pPr>
    </w:p>
    <w:p>
      <w:pPr>
        <w:spacing w:after="600"/>
      </w:pPr>
      <w:r>
        <w:rPr>
          <w:rFonts w:ascii="Open Sans" w:cs="Open Sans" w:eastAsia="Open Sans" w:hAnsi="Open Sans"/>
          <w:color w:val="59595B"/>
          <w:sz w:val="22"/>
          <w:szCs w:val="22"/>
        </w:rPr>
        <w:t xml:space="preserve"/>
      </w:r>
    </w:p>
    <w:p>
      <w:pPr>
        <w:spacing w:after="200"/>
        <w:jc w:val="center"/>
      </w:pPr>
      <w:r>
        <w:rPr>
          <w:rFonts w:ascii="Open Sans" w:cs="Open Sans" w:eastAsia="Open Sans" w:hAnsi="Open Sans"/>
          <w:color w:val="59595B"/>
          <w:sz w:val="22"/>
          <w:szCs w:val="22"/>
        </w:rPr>
        <w:t xml:space="preserve">May 1, 2026</w:t>
      </w:r>
    </w:p>
    <w:p>
      <w:pPr>
        <w:spacing w:after="400"/>
      </w:pPr>
      <w:r>
        <w:rPr>
          <w:rFonts w:ascii="Open Sans" w:cs="Open Sans" w:eastAsia="Open Sans" w:hAnsi="Open Sans"/>
          <w:color w:val="59595B"/>
          <w:sz w:val="22"/>
          <w:szCs w:val="22"/>
        </w:rPr>
        <w:t xml:space="preserve"/>
      </w:r>
    </w:p>
    <w:p>
      <w:pPr>
        <w:jc w:val="center"/>
      </w:pPr>
      <w:r>
        <w:rPr>
          <w:rFonts w:ascii="Open Sans" w:cs="Open Sans" w:eastAsia="Open Sans" w:hAnsi="Open Sans"/>
          <w:b/>
          <w:bCs/>
          <w:color w:val="1A1A2E"/>
          <w:sz w:val="22"/>
          <w:szCs w:val="22"/>
        </w:rPr>
        <w:t xml:space="preserve">Technijian, Inc.</w:t>
      </w:r>
    </w:p>
    <w:p>
      <w:pPr>
        <w:jc w:val="center"/>
      </w:pPr>
      <w:r>
        <w:rPr>
          <w:rFonts w:ascii="Open Sans" w:cs="Open Sans" w:eastAsia="Open Sans" w:hAnsi="Open Sans"/>
          <w:color w:val="59595B"/>
          <w:sz w:val="20"/>
          <w:szCs w:val="20"/>
        </w:rPr>
        <w:t xml:space="preserve">18 Technology Dr., Ste 141  |  Irvine, CA 92618  |  949.379.8499</w:t>
      </w:r>
    </w:p>
    <w:p>
      <w:r>
        <w:br w:type="page"/>
      </w:r>
    </w:p>
    <w:p>
      <w:pPr>
        <w:sectPr>
          <w:pgSz w:w="12240" w:h="15840" w:orient="portrait"/>
          <w:pgMar w:top="1440" w:right="1440" w:bottom="1440" w:left="1440" w:header="708" w:footer="708" w:gutter="0"/>
          <w:pgNumType/>
          <w:docGrid w:linePitch="360"/>
        </w:sectPr>
      </w:pPr>
    </w:p>
    <w:p>
      <w:pPr>
        <w:pStyle w:val="Heading1"/>
      </w:pPr>
      <w:r>
        <w:rPr>
          <w:rFonts w:ascii="Open Sans" w:cs="Open Sans" w:eastAsia="Open Sans" w:hAnsi="Open Sans"/>
          <w:color w:val="59595B"/>
          <w:sz w:val="22"/>
          <w:szCs w:val="22"/>
        </w:rPr>
        <w:t xml:space="preserve">STATEMENT OF WORK</w:t>
      </w:r>
    </w:p>
    <w:p>
      <w:r>
        <w:rPr>
          <w:rFonts w:ascii="Open Sans" w:cs="Open Sans" w:eastAsia="Open Sans" w:hAnsi="Open Sans"/>
          <w:b/>
          <w:bCs/>
          <w:color w:val="1A1A2E"/>
          <w:sz w:val="22"/>
          <w:szCs w:val="22"/>
        </w:rPr>
        <w:t xml:space="preserve">SOW Number: </w:t>
      </w:r>
      <w:r>
        <w:rPr>
          <w:rFonts w:ascii="Open Sans" w:cs="Open Sans" w:eastAsia="Open Sans" w:hAnsi="Open Sans"/>
          <w:color w:val="59595B"/>
          <w:sz w:val="22"/>
          <w:szCs w:val="22"/>
        </w:rPr>
        <w:t xml:space="preserve">SOW-AFFG-004</w:t>
      </w:r>
    </w:p>
    <w:p>
      <w:r>
        <w:rPr>
          <w:rFonts w:ascii="Open Sans" w:cs="Open Sans" w:eastAsia="Open Sans" w:hAnsi="Open Sans"/>
          <w:b/>
          <w:bCs/>
          <w:color w:val="1A1A2E"/>
          <w:sz w:val="22"/>
          <w:szCs w:val="22"/>
        </w:rPr>
        <w:t xml:space="preserve">Title: </w:t>
      </w:r>
      <w:r>
        <w:rPr>
          <w:rFonts w:ascii="Open Sans" w:cs="Open Sans" w:eastAsia="Open Sans" w:hAnsi="Open Sans"/>
          <w:color w:val="59595B"/>
          <w:sz w:val="22"/>
          <w:szCs w:val="22"/>
        </w:rPr>
        <w:t xml:space="preserve">Managed Device Control Deployment</w:t>
      </w:r>
    </w:p>
    <w:p>
      <w:r>
        <w:rPr>
          <w:rFonts w:ascii="Open Sans" w:cs="Open Sans" w:eastAsia="Open Sans" w:hAnsi="Open Sans"/>
          <w:b/>
          <w:bCs/>
          <w:color w:val="1A1A2E"/>
          <w:sz w:val="22"/>
          <w:szCs w:val="22"/>
        </w:rPr>
        <w:t xml:space="preserve">Effective Date: </w:t>
      </w:r>
      <w:r>
        <w:rPr>
          <w:rFonts w:ascii="Open Sans" w:cs="Open Sans" w:eastAsia="Open Sans" w:hAnsi="Open Sans"/>
          <w:color w:val="59595B"/>
          <w:sz w:val="22"/>
          <w:szCs w:val="22"/>
        </w:rPr>
        <w:t xml:space="preserve">May 1, 2026</w:t>
      </w:r>
    </w:p>
    <w:p>
      <w:r>
        <w:rPr>
          <w:rFonts w:ascii="Open Sans" w:cs="Open Sans" w:eastAsia="Open Sans" w:hAnsi="Open Sans"/>
          <w:b/>
          <w:bCs/>
          <w:color w:val="1A1A2E"/>
          <w:sz w:val="22"/>
          <w:szCs w:val="22"/>
        </w:rPr>
        <w:t xml:space="preserve">Parent Agreement: </w:t>
      </w:r>
      <w:r>
        <w:rPr>
          <w:rFonts w:ascii="Open Sans" w:cs="Open Sans" w:eastAsia="Open Sans" w:hAnsi="Open Sans"/>
          <w:color w:val="59595B"/>
          <w:sz w:val="22"/>
          <w:szCs w:val="22"/>
        </w:rPr>
        <w:t xml:space="preserve">Client Monthly Service Agreement (DocuSign Envelope F3CDFC05-B156-8A6F-8020-13A164F4E3F1, effective March 11, 2026), as amended by Section 12 of this SOW</w:t>
      </w:r>
    </w:p>
    <w:p>
      <w:r>
        <w:rPr>
          <w:rFonts w:ascii="Open Sans" w:cs="Open Sans" w:eastAsia="Open Sans" w:hAnsi="Open Sans"/>
          <w:b/>
          <w:bCs/>
          <w:color w:val="1A1A2E"/>
          <w:sz w:val="22"/>
          <w:szCs w:val="22"/>
        </w:rPr>
        <w:t xml:space="preserve">Source: </w:t>
      </w:r>
      <w:r>
        <w:rPr>
          <w:rFonts w:ascii="Open Sans" w:cs="Open Sans" w:eastAsia="Open Sans" w:hAnsi="Open Sans"/>
          <w:color w:val="59595B"/>
          <w:sz w:val="22"/>
          <w:szCs w:val="22"/>
        </w:rPr>
        <w:t xml:space="preserve">AFFG Managed Device Strategy (REF: AFFG-MDS-2026-04, April 2026)</w:t>
      </w:r>
    </w:p>
    <w:p>
      <w:r>
        <w:rPr>
          <w:rFonts w:ascii="Open Sans" w:cs="Open Sans" w:eastAsia="Open Sans" w:hAnsi="Open Sans"/>
          <w:b/>
          <w:bCs/>
          <w:color w:val="1A1A2E"/>
          <w:sz w:val="22"/>
          <w:szCs w:val="22"/>
        </w:rPr>
        <w:t xml:space="preserve">Regulatory Scope: </w:t>
      </w:r>
      <w:r>
        <w:rPr>
          <w:rFonts w:ascii="Open Sans" w:cs="Open Sans" w:eastAsia="Open Sans" w:hAnsi="Open Sans"/>
          <w:color w:val="59595B"/>
          <w:sz w:val="22"/>
          <w:szCs w:val="22"/>
        </w:rPr>
        <w:t xml:space="preserve">SEC Reg S-P (2024 Amendments), FINRA Rule 3110, FINRA Rule 4370, SEC Rule 17a-4, NIST SP 800-53 Rev 5</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This Statement of Work (“SOW”) is entered into by and between:</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Technijian, Inc. (“Technijian”)</w:t>
      </w:r>
    </w:p>
    <w:p>
      <w:r>
        <w:rPr>
          <w:rFonts w:ascii="Open Sans" w:cs="Open Sans" w:eastAsia="Open Sans" w:hAnsi="Open Sans"/>
          <w:color w:val="59595B"/>
          <w:sz w:val="22"/>
          <w:szCs w:val="22"/>
        </w:rPr>
        <w:t xml:space="preserve">18 Technology Drive, Suite 141</w:t>
      </w:r>
    </w:p>
    <w:p>
      <w:r>
        <w:rPr>
          <w:rFonts w:ascii="Open Sans" w:cs="Open Sans" w:eastAsia="Open Sans" w:hAnsi="Open Sans"/>
          <w:color w:val="59595B"/>
          <w:sz w:val="22"/>
          <w:szCs w:val="22"/>
        </w:rPr>
        <w:t xml:space="preserve">Irvine, California 92618</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and</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American Fundstars Financial Group LLC (“Client” or “AFFG”)</w:t>
      </w:r>
    </w:p>
    <w:p>
      <w:r>
        <w:rPr>
          <w:rFonts w:ascii="Open Sans" w:cs="Open Sans" w:eastAsia="Open Sans" w:hAnsi="Open Sans"/>
          <w:color w:val="59595B"/>
          <w:sz w:val="22"/>
          <w:szCs w:val="22"/>
        </w:rPr>
        <w:t xml:space="preserve">1 Park Plaza, Suite 210</w:t>
      </w:r>
    </w:p>
    <w:p>
      <w:r>
        <w:rPr>
          <w:rFonts w:ascii="Open Sans" w:cs="Open Sans" w:eastAsia="Open Sans" w:hAnsi="Open Sans"/>
          <w:color w:val="59595B"/>
          <w:sz w:val="22"/>
          <w:szCs w:val="22"/>
        </w:rPr>
        <w:t xml:space="preserve">Irvine, California 92618</w:t>
      </w:r>
    </w:p>
    <w:p>
      <w:r>
        <w:rPr>
          <w:rFonts w:ascii="Open Sans" w:cs="Open Sans" w:eastAsia="Open Sans" w:hAnsi="Open Sans"/>
          <w:b/>
          <w:bCs/>
          <w:color w:val="1A1A2E"/>
          <w:sz w:val="22"/>
          <w:szCs w:val="22"/>
        </w:rPr>
        <w:t xml:space="preserve">Primary Contact: </w:t>
      </w:r>
      <w:r>
        <w:rPr>
          <w:rFonts w:ascii="Open Sans" w:cs="Open Sans" w:eastAsia="Open Sans" w:hAnsi="Open Sans"/>
          <w:color w:val="59595B"/>
          <w:sz w:val="22"/>
          <w:szCs w:val="22"/>
        </w:rPr>
        <w:t xml:space="preserve">Iris Liu</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Note: </w:t>
      </w:r>
      <w:r>
        <w:rPr>
          <w:rFonts w:ascii="Open Sans" w:cs="Open Sans" w:eastAsia="Open Sans" w:hAnsi="Open Sans"/>
          <w:color w:val="59595B"/>
          <w:sz w:val="22"/>
          <w:szCs w:val="22"/>
        </w:rPr>
        <w:t xml:space="preserve">This SOW deploys the managed-device control architecture presented in the AFFG Managed Device Strategy (REF: AFFG-MDS-2026-04) as the implementation path selected by Client. The starting state is the network defined in the signed MSA-AFFG-2026 Schedule A (no VDI deployed). The monthly recurring charges in Schedule A of MSA-AFFG-2026 will be amended per Section 8 of this SOW to add the managed device control services.</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1. PROJECT OVERVIEW</w:t>
      </w:r>
    </w:p>
    <w:p>
      <w:r>
        <w:rPr>
          <w:rFonts w:ascii="Open Sans" w:cs="Open Sans" w:eastAsia="Open Sans" w:hAnsi="Open Sans"/>
          <w:color w:val="59595B"/>
          <w:sz w:val="22"/>
          <w:szCs w:val="22"/>
        </w:rPr>
        <w:t xml:space="preserve">Technijian will deliver a 6-phase implementation that deploys a managed-device control architecture for AFFG, consisting of 10 company-owned Apple endpoints (4 Mac Minis and 6 MacBook Neos) enrolled in Microsoft Intune via Apple Business Manager Automated Device Enrollment, 10 personally-owned cell phones enrolled in Intune under a BYOD work-profile model (iOS via Apple Business Manager User Enrollment; Android via Intune personally-owned work profile), CloudBrink Zero Trust Network Access (ZTNA), Entra Conditional Access, and Teramind / MyAudit UAM+DLP. Of the 10 Apple endpoints, 2 Mac Minis have been pre-onboarded by AFFG prior to this SOW and require a configuration-cleanup pass (removal of Cisco Umbrella, deployment of the remaining stack agents, and compliance revalidation); the other 8 (2 new Mac Minis + 6 MacBook Neos) are fresh ABM-based enrollments. Under this SOW, 4 legacy devices (MACBOOK-PRO-4, KIKI, LEON, MAGGIE) are offboarded and securely wiped per NIST SP 800-88. This SOW establishes a fully SEC/FINRA-compliant endpoint control posture for all 10 users and their personal phones, enables secure access from any network via ZTNA, and produces the attested evidence required under FINRA 3110(c).</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1.1 Objectives</w:t>
      </w:r>
    </w:p>
    <w:p>
      <w:pPr>
        <w:pStyle w:val="ListParagraph"/>
        <w:numPr>
          <w:ilvl w:val="0"/>
          <w:numId w:val="2"/>
        </w:numPr>
      </w:pPr>
      <w:r>
        <w:rPr>
          <w:rFonts w:ascii="Open Sans" w:cs="Open Sans" w:eastAsia="Open Sans" w:hAnsi="Open Sans"/>
          <w:color w:val="59595B"/>
          <w:sz w:val="22"/>
          <w:szCs w:val="22"/>
        </w:rPr>
        <w:t xml:space="preserve">Enroll 10 company Apple endpoints (4 Mac Minis + 6 MacBook Neos) in Microsoft Intune via Apple Business Manager Automated Device Enrollment — 8 via fresh ABM enrollment and 2 pre-onboarded Mac Minis via configuration-cleanup — with the final macOS endpoint stack (CrowdStrike Falcon for Mac [AVD], Huntress macOS [AVMH], ManageEngine Patch Management for macOS [PMMAC], CloudBrink ZTNA, Teramind / MyAudit UAM+DLP [AMDLP1Y], My Remote / ScreenConnect [MR])</w:t>
      </w:r>
    </w:p>
    <w:p>
      <w:pPr>
        <w:pStyle w:val="ListParagraph"/>
        <w:numPr>
          <w:ilvl w:val="0"/>
          <w:numId w:val="2"/>
        </w:numPr>
      </w:pPr>
      <w:r>
        <w:rPr>
          <w:rFonts w:ascii="Open Sans" w:cs="Open Sans" w:eastAsia="Open Sans" w:hAnsi="Open Sans"/>
          <w:color w:val="59595B"/>
          <w:sz w:val="22"/>
          <w:szCs w:val="22"/>
        </w:rPr>
        <w:t xml:space="preserve">Remove Cisco Umbrella from the 2 pre-onboarded Mac Minis and confirm it is not deployed anywhere in the managed fleet (Umbrella is excluded from the Rev 3 stack)</w:t>
      </w:r>
    </w:p>
    <w:p>
      <w:pPr>
        <w:pStyle w:val="ListParagraph"/>
        <w:numPr>
          <w:ilvl w:val="0"/>
          <w:numId w:val="2"/>
        </w:numPr>
      </w:pPr>
      <w:r>
        <w:rPr>
          <w:rFonts w:ascii="Open Sans" w:cs="Open Sans" w:eastAsia="Open Sans" w:hAnsi="Open Sans"/>
          <w:color w:val="59595B"/>
          <w:sz w:val="22"/>
          <w:szCs w:val="22"/>
        </w:rPr>
        <w:t xml:space="preserve">Deploy CloudBrink ZTNA on all 10 Macs to replace the existing office-IP whitelist with device-posture-based access from any network</w:t>
      </w:r>
    </w:p>
    <w:p>
      <w:pPr>
        <w:pStyle w:val="ListParagraph"/>
        <w:numPr>
          <w:ilvl w:val="0"/>
          <w:numId w:val="2"/>
        </w:numPr>
      </w:pPr>
      <w:r>
        <w:rPr>
          <w:rFonts w:ascii="Open Sans" w:cs="Open Sans" w:eastAsia="Open Sans" w:hAnsi="Open Sans"/>
          <w:color w:val="59595B"/>
          <w:sz w:val="22"/>
          <w:szCs w:val="22"/>
        </w:rPr>
        <w:t xml:space="preserve">Deploy Teramind / MyAudit UAM+DLP on all 10 managed Apple endpoints for endpoint-level data-loss-prevention and supervisory activity monitoring</w:t>
      </w:r>
    </w:p>
    <w:p>
      <w:pPr>
        <w:pStyle w:val="ListParagraph"/>
        <w:numPr>
          <w:ilvl w:val="0"/>
          <w:numId w:val="2"/>
        </w:numPr>
      </w:pPr>
      <w:r>
        <w:rPr>
          <w:rFonts w:ascii="Open Sans" w:cs="Open Sans" w:eastAsia="Open Sans" w:hAnsi="Open Sans"/>
          <w:color w:val="59595B"/>
          <w:sz w:val="22"/>
          <w:szCs w:val="22"/>
        </w:rPr>
        <w:t xml:space="preserve">Enroll 10 personally-owned cell phones in Intune under the BYOD work-profile model: iOS devices via Apple Business Manager User Enrollment; Android devices via Intune personally-owned work profile. Apply App Protection (MAM) policies and selective-wipe-only termination procedures</w:t>
      </w:r>
    </w:p>
    <w:p>
      <w:pPr>
        <w:pStyle w:val="ListParagraph"/>
        <w:numPr>
          <w:ilvl w:val="0"/>
          <w:numId w:val="2"/>
        </w:numPr>
      </w:pPr>
      <w:r>
        <w:rPr>
          <w:rFonts w:ascii="Open Sans" w:cs="Open Sans" w:eastAsia="Open Sans" w:hAnsi="Open Sans"/>
          <w:color w:val="59595B"/>
          <w:sz w:val="22"/>
          <w:szCs w:val="22"/>
        </w:rPr>
        <w:t xml:space="preserve">Configure Entra Conditional Access (compliant-device requirement, legacy-auth block, MFA) and cut over users from their existing devices to the new managed Apple fleet via a phased pilot</w:t>
      </w:r>
    </w:p>
    <w:p>
      <w:pPr>
        <w:pStyle w:val="ListParagraph"/>
        <w:numPr>
          <w:ilvl w:val="0"/>
          <w:numId w:val="2"/>
        </w:numPr>
      </w:pPr>
      <w:r>
        <w:rPr>
          <w:rFonts w:ascii="Open Sans" w:cs="Open Sans" w:eastAsia="Open Sans" w:hAnsi="Open Sans"/>
          <w:color w:val="59595B"/>
          <w:sz w:val="22"/>
          <w:szCs w:val="22"/>
        </w:rPr>
        <w:t xml:space="preserve">Offboard the 4 legacy devices in scope (MACBOOK-PRO-4, and 3 Windows systems: KIKI, LEON, MAGGIE); securely wipe per NIST SP 800-88 and retire them from the managed inventory</w:t>
      </w:r>
    </w:p>
    <w:p>
      <w:pPr>
        <w:pStyle w:val="ListParagraph"/>
        <w:numPr>
          <w:ilvl w:val="0"/>
          <w:numId w:val="2"/>
        </w:numPr>
      </w:pPr>
      <w:r>
        <w:rPr>
          <w:rFonts w:ascii="Open Sans" w:cs="Open Sans" w:eastAsia="Open Sans" w:hAnsi="Open Sans"/>
          <w:color w:val="59595B"/>
          <w:sz w:val="22"/>
          <w:szCs w:val="22"/>
        </w:rPr>
        <w:t xml:space="preserve">Amend Schedule A of MSA-AFFG-2026 to replace Windows endpoint pricing with the macOS stack pricing and add the Teramind managed-control service; produce the updated monthly recurring (+$932.00/mo net)</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1.2 Exclusions</w:t>
      </w:r>
    </w:p>
    <w:p>
      <w:pPr>
        <w:pStyle w:val="ListParagraph"/>
        <w:numPr>
          <w:ilvl w:val="0"/>
          <w:numId w:val="3"/>
        </w:numPr>
      </w:pPr>
      <w:r>
        <w:rPr>
          <w:rFonts w:ascii="Open Sans" w:cs="Open Sans" w:eastAsia="Open Sans" w:hAnsi="Open Sans"/>
          <w:color w:val="59595B"/>
          <w:sz w:val="22"/>
          <w:szCs w:val="22"/>
        </w:rPr>
        <w:t xml:space="preserve">CloudBrink per-user subscription licensing (procured directly by AFFG)</w:t>
      </w:r>
    </w:p>
    <w:p>
      <w:pPr>
        <w:pStyle w:val="ListParagraph"/>
        <w:numPr>
          <w:ilvl w:val="0"/>
          <w:numId w:val="3"/>
        </w:numPr>
      </w:pPr>
      <w:r>
        <w:rPr>
          <w:rFonts w:ascii="Open Sans" w:cs="Open Sans" w:eastAsia="Open Sans" w:hAnsi="Open Sans"/>
          <w:color w:val="59595B"/>
          <w:sz w:val="22"/>
          <w:szCs w:val="22"/>
        </w:rPr>
        <w:t xml:space="preserve">Hardware procurement (AFFG provides Mac Minis, MacBook Neos, and personal phones)</w:t>
      </w:r>
    </w:p>
    <w:p>
      <w:pPr>
        <w:pStyle w:val="ListParagraph"/>
        <w:numPr>
          <w:ilvl w:val="0"/>
          <w:numId w:val="3"/>
        </w:numPr>
      </w:pPr>
      <w:r>
        <w:rPr>
          <w:rFonts w:ascii="Open Sans" w:cs="Open Sans" w:eastAsia="Open Sans" w:hAnsi="Open Sans"/>
          <w:color w:val="59595B"/>
          <w:sz w:val="22"/>
          <w:szCs w:val="22"/>
        </w:rPr>
        <w:t xml:space="preserve">Technijian My Archive (AFFG operates own email-archiving platform)</w:t>
      </w:r>
    </w:p>
    <w:p>
      <w:pPr>
        <w:pStyle w:val="ListParagraph"/>
        <w:numPr>
          <w:ilvl w:val="0"/>
          <w:numId w:val="3"/>
        </w:numPr>
      </w:pPr>
      <w:r>
        <w:rPr>
          <w:rFonts w:ascii="Open Sans" w:cs="Open Sans" w:eastAsia="Open Sans" w:hAnsi="Open Sans"/>
          <w:color w:val="59595B"/>
          <w:sz w:val="22"/>
          <w:szCs w:val="22"/>
        </w:rPr>
        <w:t xml:space="preserve">Personal-content management on BYOD phones (Technijian manages only the Intune work profile; user personal data remains user-owned and un-touched)</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2. IMPLEMENTATION SCOPE</w:t>
      </w:r>
    </w:p>
    <w:p>
      <w:pPr>
        <w:pStyle w:val="Heading2"/>
      </w:pPr>
      <w:r>
        <w:rPr>
          <w:rFonts w:ascii="Open Sans" w:cs="Open Sans" w:eastAsia="Open Sans" w:hAnsi="Open Sans"/>
          <w:color w:val="59595B"/>
          <w:sz w:val="22"/>
          <w:szCs w:val="22"/>
        </w:rPr>
        <w:t xml:space="preserve">Phase 1: Endpoint Foundation (Weeks 1–4)</w:t>
      </w:r>
    </w:p>
    <w:p>
      <w:r>
        <w:rPr>
          <w:rFonts w:ascii="Open Sans" w:cs="Open Sans" w:eastAsia="Open Sans" w:hAnsi="Open Sans"/>
          <w:b/>
          <w:bCs/>
          <w:color w:val="1EAAC8"/>
          <w:sz w:val="22"/>
          <w:szCs w:val="22"/>
        </w:rPr>
        <w:t xml:space="preserve">7 tickets  |  22 hours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Configure Apple Business Manager + Intune Automated Device Enrollment for macOS, compliance policies (FileVault, Gatekeeper/XProtect, firewall, screen lock, OS minimum), and device configuration profiles. Enroll the 8 new Apple endpoints (2 new Mac Minis + 6 MacBook Neos) via ABM ADE, and run a configuration-cleanup pass on the 2 pre-onboarded Mac Minis (uninstall Cisco Umbrella, install any missing stack agents, revalidate compliance). Deploy the final macOS endpoint stack to all 10 Macs: ManageEngine Patch Management for macOS (PMMAC), CrowdStrike Falcon for Mac (AVD), Huntress macOS (AVMH), My Remote / ScreenConnect (MR), and Teramind / MyAudit UAM+DLP (AMDLP1Y). Cisco Umbrella (SI) is NOT deployed in this revision.</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Phase 1 Tickets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960"/>
      </w:tblGrid>
      <w:tr>
        <w:tc>
          <w:tcPr>
            <w:tcW w:type="dxa" w:w="16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Ticket</w:t>
            </w:r>
          </w:p>
        </w:tc>
        <w:tc>
          <w:tcPr>
            <w:tcW w:type="dxa" w:w="4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Title</w:t>
            </w:r>
          </w:p>
        </w:tc>
        <w:tc>
          <w:tcPr>
            <w:tcW w:type="dxa" w:w="16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Assigned To</w:t>
            </w:r>
          </w:p>
        </w:tc>
        <w:tc>
          <w:tcPr>
            <w:tcW w:type="dxa" w:w="9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Est. Hours</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AFFG-004-001</w:t>
            </w:r>
          </w:p>
        </w:tc>
        <w:tc>
          <w:tcPr>
            <w:tcW w:type="dxa" w:w="4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Apple Business Manager + Intune ADE Enrollment Profiles</w:t>
            </w:r>
          </w:p>
        </w:tc>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CHD-TS1</w:t>
            </w:r>
          </w:p>
        </w:tc>
        <w:tc>
          <w:tcPr>
            <w:tcW w:type="dxa" w:w="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AFFG-004-002</w:t>
            </w:r>
          </w:p>
        </w:tc>
        <w:tc>
          <w:tcPr>
            <w:tcW w:type="dxa" w:w="4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Intune Compliance Policies for macOS</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CHD-TS1</w:t>
            </w:r>
          </w:p>
        </w:tc>
        <w:tc>
          <w:tcPr>
            <w:tcW w:type="dxa" w:w="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AFFG-004-003</w:t>
            </w:r>
          </w:p>
        </w:tc>
        <w:tc>
          <w:tcPr>
            <w:tcW w:type="dxa" w:w="4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Intune Configuration Profiles for macOS</w:t>
            </w:r>
          </w:p>
        </w:tc>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CHD-TS1</w:t>
            </w:r>
          </w:p>
        </w:tc>
        <w:tc>
          <w:tcPr>
            <w:tcW w:type="dxa" w:w="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AFFG-004-004</w:t>
            </w:r>
          </w:p>
        </w:tc>
        <w:tc>
          <w:tcPr>
            <w:tcW w:type="dxa" w:w="4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Mac ABM Enrollment &amp; Imaging (8 New Apple Endpoints)</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CHD-TS1</w:t>
            </w:r>
          </w:p>
        </w:tc>
        <w:tc>
          <w:tcPr>
            <w:tcW w:type="dxa" w:w="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AFFG-004-005</w:t>
            </w:r>
          </w:p>
        </w:tc>
        <w:tc>
          <w:tcPr>
            <w:tcW w:type="dxa" w:w="4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Endpoint Security Stack Deployment (10 macOS Endpoints)</w:t>
            </w:r>
          </w:p>
        </w:tc>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CHD-TS1</w:t>
            </w:r>
          </w:p>
        </w:tc>
        <w:tc>
          <w:tcPr>
            <w:tcW w:type="dxa" w:w="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5</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AFFG-004-006</w:t>
            </w:r>
          </w:p>
        </w:tc>
        <w:tc>
          <w:tcPr>
            <w:tcW w:type="dxa" w:w="4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Teramind / MyAudit UAM+DLP Agent Deployment on 10 Macs</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CHD-TS1</w:t>
            </w:r>
          </w:p>
        </w:tc>
        <w:tc>
          <w:tcPr>
            <w:tcW w:type="dxa" w:w="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AFFG-004-027</w:t>
            </w:r>
          </w:p>
        </w:tc>
        <w:tc>
          <w:tcPr>
            <w:tcW w:type="dxa" w:w="4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Config Cleanup on 2 Pre-Onboarded Mac Minis</w:t>
            </w:r>
          </w:p>
        </w:tc>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CHD-TS1</w:t>
            </w:r>
          </w:p>
        </w:tc>
        <w:tc>
          <w:tcPr>
            <w:tcW w:type="dxa" w:w="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4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Phase Total</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22</w:t>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Phase 2: Access Control (Weeks 3–6)</w:t>
      </w:r>
    </w:p>
    <w:p>
      <w:r>
        <w:rPr>
          <w:rFonts w:ascii="Open Sans" w:cs="Open Sans" w:eastAsia="Open Sans" w:hAnsi="Open Sans"/>
          <w:b/>
          <w:bCs/>
          <w:color w:val="1EAAC8"/>
          <w:sz w:val="22"/>
          <w:szCs w:val="22"/>
        </w:rPr>
        <w:t xml:space="preserve">5 tickets  |  16 hours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Configure Entra Conditional Access (require compliant device, block legacy auth, require MFA), deploy CloudBrink ZTNA (tenant, connector, agent on all 10 Macs, per-app policies), and transition Schwab Advisor Services and Interactive Brokers custodian access from the existing office-IP whitelist to CloudBrink ZTNA.</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Phase 2 Tickets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960"/>
      </w:tblGrid>
      <w:tr>
        <w:tc>
          <w:tcPr>
            <w:tcW w:type="dxa" w:w="16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Ticket</w:t>
            </w:r>
          </w:p>
        </w:tc>
        <w:tc>
          <w:tcPr>
            <w:tcW w:type="dxa" w:w="4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Title</w:t>
            </w:r>
          </w:p>
        </w:tc>
        <w:tc>
          <w:tcPr>
            <w:tcW w:type="dxa" w:w="16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Assigned To</w:t>
            </w:r>
          </w:p>
        </w:tc>
        <w:tc>
          <w:tcPr>
            <w:tcW w:type="dxa" w:w="9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Est. Hours</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AFFG-004-009</w:t>
            </w:r>
          </w:p>
        </w:tc>
        <w:tc>
          <w:tcPr>
            <w:tcW w:type="dxa" w:w="4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Conditional Access Policy Suite</w:t>
            </w:r>
          </w:p>
        </w:tc>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IRV-TS1</w:t>
            </w:r>
          </w:p>
        </w:tc>
        <w:tc>
          <w:tcPr>
            <w:tcW w:type="dxa" w:w="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AFFG-004-010</w:t>
            </w:r>
          </w:p>
        </w:tc>
        <w:tc>
          <w:tcPr>
            <w:tcW w:type="dxa" w:w="4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CloudBrink ZTNA Tenant &amp; Connector Setup</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IRV-TS1</w:t>
            </w:r>
          </w:p>
        </w:tc>
        <w:tc>
          <w:tcPr>
            <w:tcW w:type="dxa" w:w="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AFFG-004-011</w:t>
            </w:r>
          </w:p>
        </w:tc>
        <w:tc>
          <w:tcPr>
            <w:tcW w:type="dxa" w:w="4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CloudBrink Agent Deployment to 10 Managed Macs</w:t>
            </w:r>
          </w:p>
        </w:tc>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CHD-TS1</w:t>
            </w:r>
          </w:p>
        </w:tc>
        <w:tc>
          <w:tcPr>
            <w:tcW w:type="dxa" w:w="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AFFG-004-012</w:t>
            </w:r>
          </w:p>
        </w:tc>
        <w:tc>
          <w:tcPr>
            <w:tcW w:type="dxa" w:w="4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CloudBrink Access Policies &amp; Micro-Segmentation</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CHD-TS1</w:t>
            </w:r>
          </w:p>
        </w:tc>
        <w:tc>
          <w:tcPr>
            <w:tcW w:type="dxa" w:w="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AFFG-004-013</w:t>
            </w:r>
          </w:p>
        </w:tc>
        <w:tc>
          <w:tcPr>
            <w:tcW w:type="dxa" w:w="4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Schwab &amp; IBKR Access Migration (Office IP Whitelist to ZTNA)</w:t>
            </w:r>
          </w:p>
        </w:tc>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IRV-TS1</w:t>
            </w:r>
          </w:p>
        </w:tc>
        <w:tc>
          <w:tcPr>
            <w:tcW w:type="dxa" w:w="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4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Phase Total</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16</w:t>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Phase 3: Mobile Device Control (Weeks 5–8)</w:t>
      </w:r>
    </w:p>
    <w:p>
      <w:r>
        <w:rPr>
          <w:rFonts w:ascii="Open Sans" w:cs="Open Sans" w:eastAsia="Open Sans" w:hAnsi="Open Sans"/>
          <w:b/>
          <w:bCs/>
          <w:color w:val="1EAAC8"/>
          <w:sz w:val="22"/>
          <w:szCs w:val="22"/>
        </w:rPr>
        <w:t xml:space="preserve">3 tickets  |  8 hours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Enroll 10 personally-owned cell phones in Intune under a BYOD work-profile model — iOS devices via Apple Business Manager User Enrollment linked to Intune (Managed Apple IDs where applicable), Android devices via Intune personally-owned work profile (Android Enterprise BYOD). Deploy App Protection (MAM) policies for Outlook, OneDrive, Teams, and Edge. Configure selective-wipe-only termination procedures — the work profile and managed apps can be wiped without touching the user's personal data.</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Phase 3 Tickets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960"/>
      </w:tblGrid>
      <w:tr>
        <w:tc>
          <w:tcPr>
            <w:tcW w:type="dxa" w:w="16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Ticket</w:t>
            </w:r>
          </w:p>
        </w:tc>
        <w:tc>
          <w:tcPr>
            <w:tcW w:type="dxa" w:w="4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Title</w:t>
            </w:r>
          </w:p>
        </w:tc>
        <w:tc>
          <w:tcPr>
            <w:tcW w:type="dxa" w:w="16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Assigned To</w:t>
            </w:r>
          </w:p>
        </w:tc>
        <w:tc>
          <w:tcPr>
            <w:tcW w:type="dxa" w:w="9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Est. Hours</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AFFG-004-014</w:t>
            </w:r>
          </w:p>
        </w:tc>
        <w:tc>
          <w:tcPr>
            <w:tcW w:type="dxa" w:w="4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Intune BYOD Enrollment for 10 Personal Phones</w:t>
            </w:r>
          </w:p>
        </w:tc>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CHD-TS1</w:t>
            </w:r>
          </w:p>
        </w:tc>
        <w:tc>
          <w:tcPr>
            <w:tcW w:type="dxa" w:w="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AFFG-004-015</w:t>
            </w:r>
          </w:p>
        </w:tc>
        <w:tc>
          <w:tcPr>
            <w:tcW w:type="dxa" w:w="4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Intune App Protection (MAM) Policies for Mobile</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CHD-TS1</w:t>
            </w:r>
          </w:p>
        </w:tc>
        <w:tc>
          <w:tcPr>
            <w:tcW w:type="dxa" w:w="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AFFG-004-016</w:t>
            </w:r>
          </w:p>
        </w:tc>
        <w:tc>
          <w:tcPr>
            <w:tcW w:type="dxa" w:w="4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Mobile Selective Wipe &amp; Termination Procedures</w:t>
            </w:r>
          </w:p>
        </w:tc>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CHD-TS1</w:t>
            </w:r>
          </w:p>
        </w:tc>
        <w:tc>
          <w:tcPr>
            <w:tcW w:type="dxa" w:w="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4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Phase Total</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8</w:t>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Phase 4: User Cutover &amp; Legacy Offboarding (Weeks 7–12)</w:t>
      </w:r>
    </w:p>
    <w:p>
      <w:r>
        <w:rPr>
          <w:rFonts w:ascii="Open Sans" w:cs="Open Sans" w:eastAsia="Open Sans" w:hAnsi="Open Sans"/>
          <w:b/>
          <w:bCs/>
          <w:color w:val="1EAAC8"/>
          <w:sz w:val="22"/>
          <w:szCs w:val="22"/>
        </w:rPr>
        <w:t xml:space="preserve">4 tickets  |  19 hours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Migrate user data, application settings, and profiles from each user’s existing work device to the new managed Apple endpoint; securely offboard and retire the 4 legacy devices (MACBOOK-PRO-4 and 3 Windows systems KIKI/LEON/MAGGIE) including full disk wipe per NIST SP 800-88; deliver end-user training on the macOS managed-device workflow and the BYOD personal-phone enrollment flow (iOS ABM User Enrollment vs. Android Work Profile); run a 2-week pilot operation window with 2–3 users on the new Macs before full fleet cutover; and decommission the legacy office-IP whitelist from Schwab and IBKR after ZTNA is validated.</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Phase 4 Tickets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960"/>
      </w:tblGrid>
      <w:tr>
        <w:tc>
          <w:tcPr>
            <w:tcW w:type="dxa" w:w="16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Ticket</w:t>
            </w:r>
          </w:p>
        </w:tc>
        <w:tc>
          <w:tcPr>
            <w:tcW w:type="dxa" w:w="4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Title</w:t>
            </w:r>
          </w:p>
        </w:tc>
        <w:tc>
          <w:tcPr>
            <w:tcW w:type="dxa" w:w="16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Assigned To</w:t>
            </w:r>
          </w:p>
        </w:tc>
        <w:tc>
          <w:tcPr>
            <w:tcW w:type="dxa" w:w="9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Est. Hours</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AFFG-004-017</w:t>
            </w:r>
          </w:p>
        </w:tc>
        <w:tc>
          <w:tcPr>
            <w:tcW w:type="dxa" w:w="4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User Data Migration &amp; Legacy Device Offboarding</w:t>
            </w:r>
          </w:p>
        </w:tc>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CHD-TS1</w:t>
            </w:r>
          </w:p>
        </w:tc>
        <w:tc>
          <w:tcPr>
            <w:tcW w:type="dxa" w:w="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8</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AFFG-004-018</w:t>
            </w:r>
          </w:p>
        </w:tc>
        <w:tc>
          <w:tcPr>
            <w:tcW w:type="dxa" w:w="4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User Training — macOS Managed Device Workflow</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CHD-TS1</w:t>
            </w:r>
          </w:p>
        </w:tc>
        <w:tc>
          <w:tcPr>
            <w:tcW w:type="dxa" w:w="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AFFG-004-019</w:t>
            </w:r>
          </w:p>
        </w:tc>
        <w:tc>
          <w:tcPr>
            <w:tcW w:type="dxa" w:w="4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Pilot Operation Window (2–3 Users on Managed Macs)</w:t>
            </w:r>
          </w:p>
        </w:tc>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IRV-TS1</w:t>
            </w:r>
          </w:p>
        </w:tc>
        <w:tc>
          <w:tcPr>
            <w:tcW w:type="dxa" w:w="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AFFG-004-020</w:t>
            </w:r>
          </w:p>
        </w:tc>
        <w:tc>
          <w:tcPr>
            <w:tcW w:type="dxa" w:w="4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Legacy Office-IP Whitelist Decommission</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IRV-TS1</w:t>
            </w:r>
          </w:p>
        </w:tc>
        <w:tc>
          <w:tcPr>
            <w:tcW w:type="dxa" w:w="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4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Phase Total</w:t>
            </w:r>
          </w:p>
        </w:tc>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19</w:t>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Phase 5: Monitoring &amp; Validation (Weeks 11–14)</w:t>
      </w:r>
    </w:p>
    <w:p>
      <w:r>
        <w:rPr>
          <w:rFonts w:ascii="Open Sans" w:cs="Open Sans" w:eastAsia="Open Sans" w:hAnsi="Open Sans"/>
          <w:b/>
          <w:bCs/>
          <w:color w:val="1EAAC8"/>
          <w:sz w:val="22"/>
          <w:szCs w:val="22"/>
        </w:rPr>
        <w:t xml:space="preserve">4 tickets  |  13 hours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Expand the existing monthly assessment to include the managed Mac fleet + CloudBrink posture + Teramind DLP events + Intune BYOD phone work-profile health, configure the monthly mobile device audit, perform end-to-end security validation, and produce a post-deployment compliance gap assessment confirming every control-to-citation commitment is met.</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Phase 5 Tickets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960"/>
      </w:tblGrid>
      <w:tr>
        <w:tc>
          <w:tcPr>
            <w:tcW w:type="dxa" w:w="16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Ticket</w:t>
            </w:r>
          </w:p>
        </w:tc>
        <w:tc>
          <w:tcPr>
            <w:tcW w:type="dxa" w:w="4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Title</w:t>
            </w:r>
          </w:p>
        </w:tc>
        <w:tc>
          <w:tcPr>
            <w:tcW w:type="dxa" w:w="16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Assigned To</w:t>
            </w:r>
          </w:p>
        </w:tc>
        <w:tc>
          <w:tcPr>
            <w:tcW w:type="dxa" w:w="9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Est. Hours</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AFFG-004-021</w:t>
            </w:r>
          </w:p>
        </w:tc>
        <w:tc>
          <w:tcPr>
            <w:tcW w:type="dxa" w:w="4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Monitoring Expansion — Device Fleet &amp; CloudBrink</w:t>
            </w:r>
          </w:p>
        </w:tc>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CHD-TS1</w:t>
            </w:r>
          </w:p>
        </w:tc>
        <w:tc>
          <w:tcPr>
            <w:tcW w:type="dxa" w:w="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AFFG-004-022</w:t>
            </w:r>
          </w:p>
        </w:tc>
        <w:tc>
          <w:tcPr>
            <w:tcW w:type="dxa" w:w="4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Monthly Mobile Device Audit Configuration</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CHD-TS1</w:t>
            </w:r>
          </w:p>
        </w:tc>
        <w:tc>
          <w:tcPr>
            <w:tcW w:type="dxa" w:w="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AFFG-004-023</w:t>
            </w:r>
          </w:p>
        </w:tc>
        <w:tc>
          <w:tcPr>
            <w:tcW w:type="dxa" w:w="4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End-to-End Security Validation</w:t>
            </w:r>
          </w:p>
        </w:tc>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IRV-TS1</w:t>
            </w:r>
          </w:p>
        </w:tc>
        <w:tc>
          <w:tcPr>
            <w:tcW w:type="dxa" w:w="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AFFG-004-024</w:t>
            </w:r>
          </w:p>
        </w:tc>
        <w:tc>
          <w:tcPr>
            <w:tcW w:type="dxa" w:w="4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Post-Deployment Compliance Gap Assessment</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IRV-TS1</w:t>
            </w:r>
          </w:p>
        </w:tc>
        <w:tc>
          <w:tcPr>
            <w:tcW w:type="dxa" w:w="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4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Phase Total</w:t>
            </w:r>
          </w:p>
        </w:tc>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13</w:t>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Phase 6: Documentation Update (Weeks 13–16)</w:t>
      </w:r>
    </w:p>
    <w:p>
      <w:r>
        <w:rPr>
          <w:rFonts w:ascii="Open Sans" w:cs="Open Sans" w:eastAsia="Open Sans" w:hAnsi="Open Sans"/>
          <w:b/>
          <w:bCs/>
          <w:color w:val="1EAAC8"/>
          <w:sz w:val="22"/>
          <w:szCs w:val="22"/>
        </w:rPr>
        <w:t xml:space="preserve">2 tickets  |  9 hours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Produce the compliance documentation suite aligned with the managed-device architecture (IRP, BCP disclosure, Service Provider Oversight, supervisory audit-trail architecture) and draft the Schedule A amendment to MSA-AFFG-2026 adding the managed-device control services.</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Phase 6 Tickets</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960"/>
      </w:tblGrid>
      <w:tr>
        <w:tc>
          <w:tcPr>
            <w:tcW w:type="dxa" w:w="16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Ticket</w:t>
            </w:r>
          </w:p>
        </w:tc>
        <w:tc>
          <w:tcPr>
            <w:tcW w:type="dxa" w:w="4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Title</w:t>
            </w:r>
          </w:p>
        </w:tc>
        <w:tc>
          <w:tcPr>
            <w:tcW w:type="dxa" w:w="16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Assigned To</w:t>
            </w:r>
          </w:p>
        </w:tc>
        <w:tc>
          <w:tcPr>
            <w:tcW w:type="dxa" w:w="9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Est. Hours</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AFFG-004-025</w:t>
            </w:r>
          </w:p>
        </w:tc>
        <w:tc>
          <w:tcPr>
            <w:tcW w:type="dxa" w:w="4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Compliance Documentation Suite</w:t>
            </w:r>
          </w:p>
        </w:tc>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CHD-TS1</w:t>
            </w:r>
          </w:p>
        </w:tc>
        <w:tc>
          <w:tcPr>
            <w:tcW w:type="dxa" w:w="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6</w:t>
            </w:r>
          </w:p>
        </w:tc>
      </w:tr>
      <w:tr>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AFFG-004-026</w:t>
            </w:r>
          </w:p>
        </w:tc>
        <w:tc>
          <w:tcPr>
            <w:tcW w:type="dxa" w:w="4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Schedule A Amendment — Consolidate to 10 macOS Endpoints + Add Managed Stack</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IRV-TS1</w:t>
            </w:r>
          </w:p>
        </w:tc>
        <w:tc>
          <w:tcPr>
            <w:tcW w:type="dxa" w:w="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w:t>
            </w:r>
          </w:p>
        </w:tc>
      </w:tr>
      <w:tr>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4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Phase Total</w:t>
            </w:r>
          </w:p>
        </w:tc>
        <w:tc>
          <w:tcPr>
            <w:tcW w:type="dxa" w:w="1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9</w:t>
            </w:r>
          </w:p>
        </w:tc>
      </w:tr>
    </w:tbl>
    <w:p>
      <w:pPr>
        <w:pBdr>
          <w:bottom w:val="single" w:color="006DB6" w:sz="3"/>
        </w:pBdr>
        <w:spacing w:after="200" w:before="200"/>
      </w:pPr>
    </w:p>
    <w:p>
      <w:pPr>
        <w:pStyle w:val="Heading1"/>
      </w:pPr>
      <w:r>
        <w:rPr>
          <w:rFonts w:ascii="Open Sans" w:cs="Open Sans" w:eastAsia="Open Sans" w:hAnsi="Open Sans"/>
          <w:color w:val="59595B"/>
          <w:sz w:val="22"/>
          <w:szCs w:val="22"/>
        </w:rPr>
        <w:t xml:space="preserve">3. CONTROL-TO-CITATION MAP</w:t>
      </w:r>
    </w:p>
    <w:p>
      <w:r>
        <w:rPr>
          <w:rFonts w:ascii="Open Sans" w:cs="Open Sans" w:eastAsia="Open Sans" w:hAnsi="Open Sans"/>
          <w:color w:val="59595B"/>
          <w:sz w:val="22"/>
          <w:szCs w:val="22"/>
        </w:rPr>
        <w:t xml:space="preserve">The following table maps each design component of the managed-device architecture to its control objective and the specific regulatory citations it satisfies:</w:t>
      </w:r>
    </w:p>
    <w:p>
      <w:pPr>
        <w:spacing w:after="120"/>
      </w:pPr>
      <w:r>
        <w:rPr>
          <w:rFonts w:ascii="Open Sans" w:cs="Open Sans" w:eastAsia="Open Sans" w:hAnsi="Open Sans"/>
          <w:color w:val="59595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3060"/>
      </w:tblGrid>
      <w:tr>
        <w:tc>
          <w:tcPr>
            <w:tcW w:type="dxa" w:w="27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Design Component</w:t>
            </w:r>
          </w:p>
        </w:tc>
        <w:tc>
          <w:tcPr>
            <w:tcW w:type="dxa" w:w="36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Control Objective</w:t>
            </w:r>
          </w:p>
        </w:tc>
        <w:tc>
          <w:tcPr>
            <w:tcW w:type="dxa" w:w="30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Citation(s)</w:t>
            </w:r>
          </w:p>
        </w:tc>
      </w:tr>
      <w:tr>
        <w:tc>
          <w:tcPr>
            <w:tcW w:type="dxa" w:w="2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Intune-managed company Macs</w:t>
            </w:r>
          </w:p>
        </w:tc>
        <w:tc>
          <w:tcPr>
            <w:tcW w:type="dxa" w:w="3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All 10 users on company-owned, encrypted, policy-enforced macOS endpoints (4 Mac Mini + 6 MacBook Neo)</w:t>
            </w:r>
          </w:p>
        </w:tc>
        <w:tc>
          <w:tcPr>
            <w:tcW w:type="dxa" w:w="30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Reg S-P 248.30(a)(1)-(3); FINRA 3110(a)</w:t>
            </w:r>
          </w:p>
        </w:tc>
      </w:tr>
      <w:tr>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Conditional Access + legacy auth block</w:t>
            </w:r>
          </w:p>
        </w:tc>
        <w:tc>
          <w:tcPr>
            <w:tcW w:type="dxa" w:w="3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Entra ID restricts M365 to compliant devices. IMAP/POP3/SMTP blocked</w:t>
            </w:r>
          </w:p>
        </w:tc>
        <w:tc>
          <w:tcPr>
            <w:tcW w:type="dxa" w:w="30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Reg S-P 248.30(a)(3); NIST AC-3, IA-2(1)</w:t>
            </w:r>
          </w:p>
        </w:tc>
      </w:tr>
      <w:tr>
        <w:tc>
          <w:tcPr>
            <w:tcW w:type="dxa" w:w="2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CloudBrink ZTNA</w:t>
            </w:r>
          </w:p>
        </w:tc>
        <w:tc>
          <w:tcPr>
            <w:tcW w:type="dxa" w:w="3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Zero-trust access replaces IP whitelist. Device posture verified per session</w:t>
            </w:r>
          </w:p>
        </w:tc>
        <w:tc>
          <w:tcPr>
            <w:tcW w:type="dxa" w:w="30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Reg S-P 248.30(a)(3); NIST AC-17, SC-7</w:t>
            </w:r>
          </w:p>
        </w:tc>
      </w:tr>
      <w:tr>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Teramind / MyAudit (endpoint DLP + UAM)</w:t>
            </w:r>
          </w:p>
        </w:tc>
        <w:tc>
          <w:tcPr>
            <w:tcW w:type="dxa" w:w="3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Block USB, local download, print, clipboard, screen capture; supervisory user-activity monitoring</w:t>
            </w:r>
          </w:p>
        </w:tc>
        <w:tc>
          <w:tcPr>
            <w:tcW w:type="dxa" w:w="30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Reg S-P 248.30(a)(3); FINRA 3110(b)(4); NIST AC-19, MP-7, AU-12</w:t>
            </w:r>
          </w:p>
        </w:tc>
      </w:tr>
      <w:tr>
        <w:tc>
          <w:tcPr>
            <w:tcW w:type="dxa" w:w="2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Intune BYOD (personal phones, work profile)</w:t>
            </w:r>
          </w:p>
        </w:tc>
        <w:tc>
          <w:tcPr>
            <w:tcW w:type="dxa" w:w="3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Work-profile isolation on personal iOS/Android phones; selective wipe only; MAM policies on Outlook, OneDrive, Teams, Edge</w:t>
            </w:r>
          </w:p>
        </w:tc>
        <w:tc>
          <w:tcPr>
            <w:tcW w:type="dxa" w:w="30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Reg S-P 248.30(a)(1)-(3); NIST AC-19, MP-6</w:t>
            </w:r>
          </w:p>
        </w:tc>
      </w:tr>
      <w:tr>
        <w:tc>
          <w:tcPr>
            <w:tcW w:type="dxa" w:w="2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Technijian Veeam Backup for M365</w:t>
            </w:r>
          </w:p>
        </w:tc>
        <w:tc>
          <w:tcPr>
            <w:tcW w:type="dxa" w:w="3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Immutable, non-rewriteable backup of full M365 tenant</w:t>
            </w:r>
          </w:p>
        </w:tc>
        <w:tc>
          <w:tcPr>
            <w:tcW w:type="dxa" w:w="30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SEC Rule 17a-4(b),(f); FINRA 4511</w:t>
            </w:r>
          </w:p>
        </w:tc>
      </w:tr>
      <w:tr>
        <w:tc>
          <w:tcPr>
            <w:tcW w:type="dxa" w:w="2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Technijian monthly assessment</w:t>
            </w:r>
          </w:p>
        </w:tc>
        <w:tc>
          <w:tcPr>
            <w:tcW w:type="dxa" w:w="3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Detect drift; attested evidence of ongoing control operation</w:t>
            </w:r>
          </w:p>
        </w:tc>
        <w:tc>
          <w:tcPr>
            <w:tcW w:type="dxa" w:w="30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FINRA 3110(c); FINRA 3120</w:t>
            </w:r>
          </w:p>
        </w:tc>
      </w:tr>
    </w:tbl>
    <w:p>
      <w:pPr>
        <w:pBdr>
          <w:bottom w:val="single" w:color="006DB6" w:sz="3"/>
        </w:pBdr>
        <w:spacing w:after="200" w:before="200"/>
      </w:pPr>
    </w:p>
    <w:p>
      <w:pPr>
        <w:pStyle w:val="Heading1"/>
      </w:pPr>
      <w:r>
        <w:rPr>
          <w:rFonts w:ascii="Open Sans" w:cs="Open Sans" w:eastAsia="Open Sans" w:hAnsi="Open Sans"/>
          <w:color w:val="59595B"/>
          <w:sz w:val="22"/>
          <w:szCs w:val="22"/>
        </w:rPr>
        <w:t xml:space="preserve">4. DELIVERABLES</w:t>
      </w:r>
    </w:p>
    <w:p>
      <w:pPr>
        <w:pStyle w:val="ListParagraph"/>
        <w:numPr>
          <w:ilvl w:val="0"/>
          <w:numId w:val="4"/>
        </w:numPr>
      </w:pPr>
      <w:r>
        <w:rPr>
          <w:rFonts w:ascii="Open Sans" w:cs="Open Sans" w:eastAsia="Open Sans" w:hAnsi="Open Sans"/>
          <w:color w:val="59595B"/>
          <w:sz w:val="22"/>
          <w:szCs w:val="22"/>
        </w:rPr>
        <w:t xml:space="preserve">10 Intune-managed company Apple endpoints (4 Mac Mini + 6 MacBook Neo) running the final macOS stack (PMMAC, CrowdStrike, Huntress, CloudBrink, Teramind, My Remote) per the Technijian Services Price List (rev 2026-03-23)</w:t>
      </w:r>
    </w:p>
    <w:p>
      <w:pPr>
        <w:pStyle w:val="ListParagraph"/>
        <w:numPr>
          <w:ilvl w:val="0"/>
          <w:numId w:val="4"/>
        </w:numPr>
      </w:pPr>
      <w:r>
        <w:rPr>
          <w:rFonts w:ascii="Open Sans" w:cs="Open Sans" w:eastAsia="Open Sans" w:hAnsi="Open Sans"/>
          <w:color w:val="59595B"/>
          <w:sz w:val="22"/>
          <w:szCs w:val="22"/>
        </w:rPr>
        <w:t xml:space="preserve">Cisco Umbrella removed from the 2 pre-onboarded Mac Minis and confirmed absent from the managed fleet</w:t>
      </w:r>
    </w:p>
    <w:p>
      <w:pPr>
        <w:pStyle w:val="ListParagraph"/>
        <w:numPr>
          <w:ilvl w:val="0"/>
          <w:numId w:val="4"/>
        </w:numPr>
      </w:pPr>
      <w:r>
        <w:rPr>
          <w:rFonts w:ascii="Open Sans" w:cs="Open Sans" w:eastAsia="Open Sans" w:hAnsi="Open Sans"/>
          <w:color w:val="59595B"/>
          <w:sz w:val="22"/>
          <w:szCs w:val="22"/>
        </w:rPr>
        <w:t xml:space="preserve">CloudBrink ZTNA deployed on all 10 Macs with per-application micro-segmented access</w:t>
      </w:r>
    </w:p>
    <w:p>
      <w:pPr>
        <w:pStyle w:val="ListParagraph"/>
        <w:numPr>
          <w:ilvl w:val="0"/>
          <w:numId w:val="4"/>
        </w:numPr>
      </w:pPr>
      <w:r>
        <w:rPr>
          <w:rFonts w:ascii="Open Sans" w:cs="Open Sans" w:eastAsia="Open Sans" w:hAnsi="Open Sans"/>
          <w:color w:val="59595B"/>
          <w:sz w:val="22"/>
          <w:szCs w:val="22"/>
        </w:rPr>
        <w:t xml:space="preserve">Schwab and IBKR transitioned from office-IP whitelist to CloudBrink ZTNA</w:t>
      </w:r>
    </w:p>
    <w:p>
      <w:pPr>
        <w:pStyle w:val="ListParagraph"/>
        <w:numPr>
          <w:ilvl w:val="0"/>
          <w:numId w:val="4"/>
        </w:numPr>
      </w:pPr>
      <w:r>
        <w:rPr>
          <w:rFonts w:ascii="Open Sans" w:cs="Open Sans" w:eastAsia="Open Sans" w:hAnsi="Open Sans"/>
          <w:color w:val="59595B"/>
          <w:sz w:val="22"/>
          <w:szCs w:val="22"/>
        </w:rPr>
        <w:t xml:space="preserve">Conditional Access: M365 restricted to compliant managed devices, legacy auth blocked, MFA required</w:t>
      </w:r>
    </w:p>
    <w:p>
      <w:pPr>
        <w:pStyle w:val="ListParagraph"/>
        <w:numPr>
          <w:ilvl w:val="0"/>
          <w:numId w:val="4"/>
        </w:numPr>
      </w:pPr>
      <w:r>
        <w:rPr>
          <w:rFonts w:ascii="Open Sans" w:cs="Open Sans" w:eastAsia="Open Sans" w:hAnsi="Open Sans"/>
          <w:color w:val="59595B"/>
          <w:sz w:val="22"/>
          <w:szCs w:val="22"/>
        </w:rPr>
        <w:t xml:space="preserve">Teramind / MyAudit UAM+DLP deployed on all 10 managed Macs (endpoint DLP + supervisory user-activity monitoring)</w:t>
      </w:r>
    </w:p>
    <w:p>
      <w:pPr>
        <w:pStyle w:val="ListParagraph"/>
        <w:numPr>
          <w:ilvl w:val="0"/>
          <w:numId w:val="4"/>
        </w:numPr>
      </w:pPr>
      <w:r>
        <w:rPr>
          <w:rFonts w:ascii="Open Sans" w:cs="Open Sans" w:eastAsia="Open Sans" w:hAnsi="Open Sans"/>
          <w:color w:val="59595B"/>
          <w:sz w:val="22"/>
          <w:szCs w:val="22"/>
        </w:rPr>
        <w:t xml:space="preserve">10 personal phones enrolled in Intune under a BYOD work-profile model (iOS via ABM User Enrollment; Android via Android Enterprise Work Profile) with App Protection (MAM) policies and selective-wipe-only termination</w:t>
      </w:r>
    </w:p>
    <w:p>
      <w:pPr>
        <w:pStyle w:val="ListParagraph"/>
        <w:numPr>
          <w:ilvl w:val="0"/>
          <w:numId w:val="4"/>
        </w:numPr>
      </w:pPr>
      <w:r>
        <w:rPr>
          <w:rFonts w:ascii="Open Sans" w:cs="Open Sans" w:eastAsia="Open Sans" w:hAnsi="Open Sans"/>
          <w:color w:val="59595B"/>
          <w:sz w:val="22"/>
          <w:szCs w:val="22"/>
        </w:rPr>
        <w:t xml:space="preserve">4 legacy devices (MACBOOK-PRO-4, KIKI, LEON, MAGGIE) securely wiped per NIST SP 800-88 and retired from managed inventory with chain-of-custody documentation</w:t>
      </w:r>
    </w:p>
    <w:p>
      <w:pPr>
        <w:pStyle w:val="ListParagraph"/>
        <w:numPr>
          <w:ilvl w:val="0"/>
          <w:numId w:val="4"/>
        </w:numPr>
      </w:pPr>
      <w:r>
        <w:rPr>
          <w:rFonts w:ascii="Open Sans" w:cs="Open Sans" w:eastAsia="Open Sans" w:hAnsi="Open Sans"/>
          <w:color w:val="59595B"/>
          <w:sz w:val="22"/>
          <w:szCs w:val="22"/>
        </w:rPr>
        <w:t xml:space="preserve">Compliance documentation suite aligned with the managed-device architecture (IRP, BCP disclosure, Service Provider Oversight, supervisory audit-trail architecture)</w:t>
      </w:r>
    </w:p>
    <w:p>
      <w:pPr>
        <w:pStyle w:val="ListParagraph"/>
        <w:numPr>
          <w:ilvl w:val="0"/>
          <w:numId w:val="4"/>
        </w:numPr>
      </w:pPr>
      <w:r>
        <w:rPr>
          <w:rFonts w:ascii="Open Sans" w:cs="Open Sans" w:eastAsia="Open Sans" w:hAnsi="Open Sans"/>
          <w:color w:val="59595B"/>
          <w:sz w:val="22"/>
          <w:szCs w:val="22"/>
        </w:rPr>
        <w:t xml:space="preserve">Schedule A amendment to MSA-AFFG-2026 consolidating to 10 macOS-priced endpoints and adding the Teramind managed-control service (+$932.00/mo net)</w:t>
      </w:r>
    </w:p>
    <w:p>
      <w:pPr>
        <w:pStyle w:val="ListParagraph"/>
        <w:numPr>
          <w:ilvl w:val="0"/>
          <w:numId w:val="4"/>
        </w:numPr>
      </w:pPr>
      <w:r>
        <w:rPr>
          <w:rFonts w:ascii="Open Sans" w:cs="Open Sans" w:eastAsia="Open Sans" w:hAnsi="Open Sans"/>
          <w:color w:val="59595B"/>
          <w:sz w:val="22"/>
          <w:szCs w:val="22"/>
        </w:rPr>
        <w:t xml:space="preserve">Post-deployment compliance gap assessment confirming all control-to-citation commitments are met</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5. PRICING AND PAYMENT</w:t>
      </w:r>
    </w:p>
    <w:p>
      <w:pPr>
        <w:pStyle w:val="Heading2"/>
      </w:pPr>
      <w:r>
        <w:rPr>
          <w:rFonts w:ascii="Open Sans" w:cs="Open Sans" w:eastAsia="Open Sans" w:hAnsi="Open Sans"/>
          <w:color w:val="59595B"/>
          <w:sz w:val="22"/>
          <w:szCs w:val="22"/>
        </w:rPr>
        <w:t xml:space="preserve">5.1 Labor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1800"/>
        <w:gridCol w:w="2960"/>
      </w:tblGrid>
      <w:tr>
        <w:tc>
          <w:tcPr>
            <w:tcW w:type="dxa" w:w="2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Role</w:t>
            </w:r>
          </w:p>
        </w:tc>
        <w:tc>
          <w:tcPr>
            <w:tcW w:type="dxa" w:w="1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Rate</w:t>
            </w:r>
          </w:p>
        </w:tc>
        <w:tc>
          <w:tcPr>
            <w:tcW w:type="dxa" w:w="1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Hours</w:t>
            </w:r>
          </w:p>
        </w:tc>
        <w:tc>
          <w:tcPr>
            <w:tcW w:type="dxa" w:w="29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Labor</w:t>
            </w:r>
          </w:p>
        </w:tc>
      </w:tr>
      <w:tr>
        <w:tc>
          <w:tcPr>
            <w:tcW w:type="dxa" w:w="2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 Tech Support (IRV-TS1)</w:t>
            </w:r>
          </w:p>
        </w:tc>
        <w:tc>
          <w:tcPr>
            <w:tcW w:type="dxa" w:w="1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$150/hr</w:t>
            </w:r>
          </w:p>
        </w:tc>
        <w:tc>
          <w:tcPr>
            <w:tcW w:type="dxa" w:w="1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28</w:t>
            </w:r>
          </w:p>
        </w:tc>
        <w:tc>
          <w:tcPr>
            <w:tcW w:type="dxa" w:w="2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$4,200.00</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India Tech Support (CHD-TS1)</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$45/hr</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59</w:t>
            </w:r>
          </w:p>
        </w:tc>
        <w:tc>
          <w:tcPr>
            <w:tcW w:type="dxa" w:w="2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$2,655.00</w:t>
            </w:r>
          </w:p>
        </w:tc>
      </w:tr>
      <w:tr>
        <w:tc>
          <w:tcPr>
            <w:tcW w:type="dxa" w:w="2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TOTAL</w:t>
            </w:r>
          </w:p>
        </w:tc>
        <w:tc>
          <w:tcPr>
            <w:tcW w:type="dxa" w:w="1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1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87 hrs</w:t>
            </w:r>
          </w:p>
        </w:tc>
        <w:tc>
          <w:tcPr>
            <w:tcW w:type="dxa" w:w="2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$6,855.00</w:t>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5.2 Payment Schedule</w:t>
      </w:r>
    </w:p>
    <w:tbl>
      <w:tblPr>
        <w:tblW w:type="dxa" w:w="9320"/>
        <w:tblBorders>
          <w:top w:val="single" w:color="auto" w:sz="4"/>
          <w:left w:val="single" w:color="auto" w:sz="4"/>
          <w:bottom w:val="single" w:color="auto" w:sz="4"/>
          <w:right w:val="single" w:color="auto" w:sz="4"/>
          <w:insideH w:val="single" w:color="auto" w:sz="4"/>
          <w:insideV w:val="single" w:color="auto" w:sz="4"/>
        </w:tblBorders>
      </w:tblPr>
      <w:tblGrid>
        <w:gridCol w:w="2800"/>
        <w:gridCol w:w="3560"/>
        <w:gridCol w:w="2960"/>
      </w:tblGrid>
      <w:tr>
        <w:tc>
          <w:tcPr>
            <w:tcW w:type="dxa" w:w="2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Milestone</w:t>
            </w:r>
          </w:p>
        </w:tc>
        <w:tc>
          <w:tcPr>
            <w:tcW w:type="dxa" w:w="35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Trigger</w:t>
            </w:r>
          </w:p>
        </w:tc>
        <w:tc>
          <w:tcPr>
            <w:tcW w:type="dxa" w:w="29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Amount</w:t>
            </w:r>
          </w:p>
        </w:tc>
      </w:tr>
      <w:tr>
        <w:tc>
          <w:tcPr>
            <w:tcW w:type="dxa" w:w="2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50% upon SOW execution</w:t>
            </w:r>
          </w:p>
        </w:tc>
        <w:tc>
          <w:tcPr>
            <w:tcW w:type="dxa" w:w="35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SOW signed by both parties</w:t>
            </w:r>
          </w:p>
        </w:tc>
        <w:tc>
          <w:tcPr>
            <w:tcW w:type="dxa" w:w="2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$3,427.50</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25% upon Phase 4 completion</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Fleet cutover complete (all 10 users operating on managed Macs, 4 legacy devices offboarded)</w:t>
            </w:r>
          </w:p>
        </w:tc>
        <w:tc>
          <w:tcPr>
            <w:tcW w:type="dxa" w:w="2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$1,713.75</w:t>
            </w:r>
          </w:p>
        </w:tc>
      </w:tr>
      <w:tr>
        <w:tc>
          <w:tcPr>
            <w:tcW w:type="dxa" w:w="2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25% upon Phase 6 delivery</w:t>
            </w:r>
          </w:p>
        </w:tc>
        <w:tc>
          <w:tcPr>
            <w:tcW w:type="dxa" w:w="35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Documentation + Schedule A amendment accepted</w:t>
            </w:r>
          </w:p>
        </w:tc>
        <w:tc>
          <w:tcPr>
            <w:tcW w:type="dxa" w:w="29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$1,713.75</w:t>
            </w:r>
          </w:p>
        </w:tc>
      </w:tr>
      <w:tr>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Total</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2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$6,855.00</w:t>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5.3 Payment Terms</w:t>
      </w:r>
    </w:p>
    <w:p>
      <w:r>
        <w:rPr>
          <w:rFonts w:ascii="Open Sans" w:cs="Open Sans" w:eastAsia="Open Sans" w:hAnsi="Open Sans"/>
          <w:color w:val="59595B"/>
          <w:sz w:val="22"/>
          <w:szCs w:val="22"/>
        </w:rPr>
        <w:t xml:space="preserve">All invoices are due and payable within thirty (30) days of the invoice date. Late payments are subject to a late fee of 1.5% per month on the unpaid balance.</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6. ASSUMPTIONS</w:t>
      </w:r>
    </w:p>
    <w:p>
      <w:pPr>
        <w:pStyle w:val="ListParagraph"/>
        <w:numPr>
          <w:ilvl w:val="0"/>
          <w:numId w:val="5"/>
        </w:numPr>
      </w:pPr>
      <w:r>
        <w:rPr>
          <w:rFonts w:ascii="Open Sans" w:cs="Open Sans" w:eastAsia="Open Sans" w:hAnsi="Open Sans"/>
          <w:color w:val="59595B"/>
          <w:sz w:val="22"/>
          <w:szCs w:val="22"/>
        </w:rPr>
        <w:t xml:space="preserve">AFFG has procured 10 company Apple endpoints in total — 4 Mac Minis (2 of which are pre-onboarded and subject to the Phase 1 configuration-cleanup pass, and 2 new) and 6 MacBook Neos (all new) — each running a currently supported macOS release, with each new device's hardware serial registered in Apple Business Manager for Automated Device Enrollment into Technijian’s Intune tenant</w:t>
      </w:r>
    </w:p>
    <w:p>
      <w:pPr>
        <w:pStyle w:val="ListParagraph"/>
        <w:numPr>
          <w:ilvl w:val="0"/>
          <w:numId w:val="5"/>
        </w:numPr>
      </w:pPr>
      <w:r>
        <w:rPr>
          <w:rFonts w:ascii="Open Sans" w:cs="Open Sans" w:eastAsia="Open Sans" w:hAnsi="Open Sans"/>
          <w:color w:val="59595B"/>
          <w:sz w:val="22"/>
          <w:szCs w:val="22"/>
        </w:rPr>
        <w:t xml:space="preserve">The 2 pre-onboarded Mac Minis currently have Cisco Umbrella installed and are accessible to Technijian for the Phase 1 cleanup pass (Ticket AFFG-004-027); AFFG-internal admin credentials for those devices are available to Technijian at the start of Phase 1</w:t>
      </w:r>
    </w:p>
    <w:p>
      <w:pPr>
        <w:pStyle w:val="ListParagraph"/>
        <w:numPr>
          <w:ilvl w:val="0"/>
          <w:numId w:val="5"/>
        </w:numPr>
      </w:pPr>
      <w:r>
        <w:rPr>
          <w:rFonts w:ascii="Open Sans" w:cs="Open Sans" w:eastAsia="Open Sans" w:hAnsi="Open Sans"/>
          <w:color w:val="59595B"/>
          <w:sz w:val="22"/>
          <w:szCs w:val="22"/>
        </w:rPr>
        <w:t xml:space="preserve">AFFG users provide 10 personally-owned cell phones for Intune BYOD enrollment. iOS devices enroll via Apple Business Manager User Enrollment mode (Managed Apple IDs provisioned as needed); Android devices enroll via Intune personally-owned work profile (Android Enterprise BYOD). Users consent to the work-profile enrollment; the user's personal content remains user-owned and is not managed by Technijian</w:t>
      </w:r>
    </w:p>
    <w:p>
      <w:pPr>
        <w:pStyle w:val="ListParagraph"/>
        <w:numPr>
          <w:ilvl w:val="0"/>
          <w:numId w:val="5"/>
        </w:numPr>
      </w:pPr>
      <w:r>
        <w:rPr>
          <w:rFonts w:ascii="Open Sans" w:cs="Open Sans" w:eastAsia="Open Sans" w:hAnsi="Open Sans"/>
          <w:color w:val="59595B"/>
          <w:sz w:val="22"/>
          <w:szCs w:val="22"/>
        </w:rPr>
        <w:t xml:space="preserve">AFFG has procured CloudBrink ZTNA per-user subscription licenses for 10 users (CloudBrink licensing is AFFG-direct and excluded from the Schedule A amendment)</w:t>
      </w:r>
    </w:p>
    <w:p>
      <w:pPr>
        <w:pStyle w:val="ListParagraph"/>
        <w:numPr>
          <w:ilvl w:val="0"/>
          <w:numId w:val="5"/>
        </w:numPr>
      </w:pPr>
      <w:r>
        <w:rPr>
          <w:rFonts w:ascii="Open Sans" w:cs="Open Sans" w:eastAsia="Open Sans" w:hAnsi="Open Sans"/>
          <w:color w:val="59595B"/>
          <w:sz w:val="22"/>
          <w:szCs w:val="22"/>
        </w:rPr>
        <w:t xml:space="preserve">AFFG’s M365 tenant remains licensed at E3 or E5 (Intune, Conditional Access, DLP, and BYOD enrollment features included)</w:t>
      </w:r>
    </w:p>
    <w:p>
      <w:pPr>
        <w:pStyle w:val="ListParagraph"/>
        <w:numPr>
          <w:ilvl w:val="0"/>
          <w:numId w:val="5"/>
        </w:numPr>
      </w:pPr>
      <w:r>
        <w:rPr>
          <w:rFonts w:ascii="Open Sans" w:cs="Open Sans" w:eastAsia="Open Sans" w:hAnsi="Open Sans"/>
          <w:color w:val="59595B"/>
          <w:sz w:val="22"/>
          <w:szCs w:val="22"/>
        </w:rPr>
        <w:t xml:space="preserve">All 10 AFFG users are available for cutover coordination and training during Weeks 7–12</w:t>
      </w:r>
    </w:p>
    <w:p>
      <w:pPr>
        <w:pStyle w:val="ListParagraph"/>
        <w:numPr>
          <w:ilvl w:val="0"/>
          <w:numId w:val="5"/>
        </w:numPr>
      </w:pPr>
      <w:r>
        <w:rPr>
          <w:rFonts w:ascii="Open Sans" w:cs="Open Sans" w:eastAsia="Open Sans" w:hAnsi="Open Sans"/>
          <w:color w:val="59595B"/>
          <w:sz w:val="22"/>
          <w:szCs w:val="22"/>
        </w:rPr>
        <w:t xml:space="preserve">Schwab Advisor Services and Interactive Brokers approve the transition from the existing office-IP whitelist to CloudBrink ZTNA within their standard processing timelines</w:t>
      </w:r>
    </w:p>
    <w:p>
      <w:pPr>
        <w:pStyle w:val="ListParagraph"/>
        <w:numPr>
          <w:ilvl w:val="0"/>
          <w:numId w:val="5"/>
        </w:numPr>
      </w:pPr>
      <w:r>
        <w:rPr>
          <w:rFonts w:ascii="Open Sans" w:cs="Open Sans" w:eastAsia="Open Sans" w:hAnsi="Open Sans"/>
          <w:color w:val="59595B"/>
          <w:sz w:val="22"/>
          <w:szCs w:val="22"/>
        </w:rPr>
        <w:t xml:space="preserve">The 4 legacy devices in offboarding scope (MACBOOK-PRO-4 and 3 Windows systems: KIKI, LEON, MAGGIE) are accessible for secure wipe and retirement during the cutover window; no recovery of data from these devices is required post-cutover</w:t>
      </w:r>
    </w:p>
    <w:p>
      <w:pPr>
        <w:pStyle w:val="ListParagraph"/>
        <w:numPr>
          <w:ilvl w:val="0"/>
          <w:numId w:val="5"/>
        </w:numPr>
      </w:pPr>
      <w:r>
        <w:rPr>
          <w:rFonts w:ascii="Open Sans" w:cs="Open Sans" w:eastAsia="Open Sans" w:hAnsi="Open Sans"/>
          <w:color w:val="59595B"/>
          <w:sz w:val="22"/>
          <w:szCs w:val="22"/>
        </w:rPr>
        <w:t xml:space="preserve">Teramind / MyAudit UAM+DLP is deployed in its current macOS-supported edition; any macOS-specific DLP-coverage gaps versus the Windows baseline are documented in the Phase 5 gap assessment (Ticket AFFG-004-024) rather than treated as a SOW defect</w:t>
      </w:r>
    </w:p>
    <w:p>
      <w:pPr>
        <w:pStyle w:val="ListParagraph"/>
        <w:numPr>
          <w:ilvl w:val="0"/>
          <w:numId w:val="5"/>
        </w:numPr>
      </w:pPr>
      <w:r>
        <w:rPr>
          <w:rFonts w:ascii="Open Sans" w:cs="Open Sans" w:eastAsia="Open Sans" w:hAnsi="Open Sans"/>
          <w:color w:val="59595B"/>
          <w:sz w:val="22"/>
          <w:szCs w:val="22"/>
        </w:rPr>
        <w:t xml:space="preserve">Patch management for macOS is billed under the PMMAC SKU ($11.00/Mac) per the Technijian Services Price List (Appendix A, rev 2026-03-23); all other monthly line items in Section 8 are likewise mapped to Price List SKUs (AVD, AVMH, MR, AMDLP1Y)</w:t>
      </w:r>
    </w:p>
    <w:p>
      <w:pPr>
        <w:pStyle w:val="ListParagraph"/>
        <w:numPr>
          <w:ilvl w:val="0"/>
          <w:numId w:val="5"/>
        </w:numPr>
      </w:pPr>
      <w:r>
        <w:rPr>
          <w:rFonts w:ascii="Open Sans" w:cs="Open Sans" w:eastAsia="Open Sans" w:hAnsi="Open Sans"/>
          <w:color w:val="59595B"/>
          <w:sz w:val="22"/>
          <w:szCs w:val="22"/>
        </w:rPr>
        <w:t xml:space="preserve">The endpoint stack in this revision does NOT include Cisco Umbrella, SSO/2FA gateway, or Credential Manager — any future addition of those services would be handled under a separate Change Order or SOW</w:t>
      </w:r>
    </w:p>
    <w:p>
      <w:pPr>
        <w:pStyle w:val="ListParagraph"/>
        <w:numPr>
          <w:ilvl w:val="0"/>
          <w:numId w:val="5"/>
        </w:numPr>
      </w:pPr>
      <w:r>
        <w:rPr>
          <w:rFonts w:ascii="Open Sans" w:cs="Open Sans" w:eastAsia="Open Sans" w:hAnsi="Open Sans"/>
          <w:color w:val="59595B"/>
          <w:sz w:val="22"/>
          <w:szCs w:val="22"/>
        </w:rPr>
        <w:t xml:space="preserve">Starting-state network is the production network defined in the signed MSA-AFFG-2026 Schedule A; no Horizon VDI environment is in place and none is deployed as part of this SOW</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7. EXCLUSIONS</w:t>
      </w:r>
    </w:p>
    <w:p>
      <w:pPr>
        <w:pStyle w:val="ListParagraph"/>
        <w:numPr>
          <w:ilvl w:val="0"/>
          <w:numId w:val="6"/>
        </w:numPr>
      </w:pPr>
      <w:r>
        <w:rPr>
          <w:rFonts w:ascii="Open Sans" w:cs="Open Sans" w:eastAsia="Open Sans" w:hAnsi="Open Sans"/>
          <w:color w:val="59595B"/>
          <w:sz w:val="22"/>
          <w:szCs w:val="22"/>
        </w:rPr>
        <w:t xml:space="preserve">CloudBrink per-user subscription licensing (AFFG-procured directly; Technijian handles deployment/configuration under this SOW)</w:t>
      </w:r>
    </w:p>
    <w:p>
      <w:pPr>
        <w:pStyle w:val="ListParagraph"/>
        <w:numPr>
          <w:ilvl w:val="0"/>
          <w:numId w:val="6"/>
        </w:numPr>
      </w:pPr>
      <w:r>
        <w:rPr>
          <w:rFonts w:ascii="Open Sans" w:cs="Open Sans" w:eastAsia="Open Sans" w:hAnsi="Open Sans"/>
          <w:color w:val="59595B"/>
          <w:sz w:val="22"/>
          <w:szCs w:val="22"/>
        </w:rPr>
        <w:t xml:space="preserve">Hardware procurement (Mac Minis, MacBook Neos, and personal phones are all AFFG-supplied or user-supplied)</w:t>
      </w:r>
    </w:p>
    <w:p>
      <w:pPr>
        <w:pStyle w:val="ListParagraph"/>
        <w:numPr>
          <w:ilvl w:val="0"/>
          <w:numId w:val="6"/>
        </w:numPr>
      </w:pPr>
      <w:r>
        <w:rPr>
          <w:rFonts w:ascii="Open Sans" w:cs="Open Sans" w:eastAsia="Open Sans" w:hAnsi="Open Sans"/>
          <w:color w:val="59595B"/>
          <w:sz w:val="22"/>
          <w:szCs w:val="22"/>
        </w:rPr>
        <w:t xml:space="preserve">Microsoft 365 license costs (AFFG procures directly)</w:t>
      </w:r>
    </w:p>
    <w:p>
      <w:pPr>
        <w:pStyle w:val="ListParagraph"/>
        <w:numPr>
          <w:ilvl w:val="0"/>
          <w:numId w:val="6"/>
        </w:numPr>
      </w:pPr>
      <w:r>
        <w:rPr>
          <w:rFonts w:ascii="Open Sans" w:cs="Open Sans" w:eastAsia="Open Sans" w:hAnsi="Open Sans"/>
          <w:color w:val="59595B"/>
          <w:sz w:val="22"/>
          <w:szCs w:val="22"/>
        </w:rPr>
        <w:t xml:space="preserve">Technijian My Archive (AFFG operates own archiving)</w:t>
      </w:r>
    </w:p>
    <w:p>
      <w:pPr>
        <w:pStyle w:val="ListParagraph"/>
        <w:numPr>
          <w:ilvl w:val="0"/>
          <w:numId w:val="6"/>
        </w:numPr>
      </w:pPr>
      <w:r>
        <w:rPr>
          <w:rFonts w:ascii="Open Sans" w:cs="Open Sans" w:eastAsia="Open Sans" w:hAnsi="Open Sans"/>
          <w:color w:val="59595B"/>
          <w:sz w:val="22"/>
          <w:szCs w:val="22"/>
        </w:rPr>
        <w:t xml:space="preserve">SSO/2FA gateway and Credential Manager services (not included in this revision)</w:t>
      </w:r>
    </w:p>
    <w:p>
      <w:pPr>
        <w:pStyle w:val="ListParagraph"/>
        <w:numPr>
          <w:ilvl w:val="0"/>
          <w:numId w:val="6"/>
        </w:numPr>
      </w:pPr>
      <w:r>
        <w:rPr>
          <w:rFonts w:ascii="Open Sans" w:cs="Open Sans" w:eastAsia="Open Sans" w:hAnsi="Open Sans"/>
          <w:color w:val="59595B"/>
          <w:sz w:val="22"/>
          <w:szCs w:val="22"/>
        </w:rPr>
        <w:t xml:space="preserve">Management of personal content, personal apps, or personal identity on BYOD phones — Technijian manages only the Intune work profile</w:t>
      </w:r>
    </w:p>
    <w:p>
      <w:pPr>
        <w:pStyle w:val="ListParagraph"/>
        <w:numPr>
          <w:ilvl w:val="0"/>
          <w:numId w:val="6"/>
        </w:numPr>
      </w:pPr>
      <w:r>
        <w:rPr>
          <w:rFonts w:ascii="Open Sans" w:cs="Open Sans" w:eastAsia="Open Sans" w:hAnsi="Open Sans"/>
          <w:color w:val="59595B"/>
          <w:sz w:val="22"/>
          <w:szCs w:val="22"/>
        </w:rPr>
        <w:t xml:space="preserve">Any remediation beyond the scope described; significant issues discovered during migration scoped as separate change order</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8. MONTHLY COST IMPACT</w:t>
      </w:r>
    </w:p>
    <w:p>
      <w:pPr>
        <w:pStyle w:val="Heading2"/>
      </w:pPr>
      <w:r>
        <w:rPr>
          <w:rFonts w:ascii="Open Sans" w:cs="Open Sans" w:eastAsia="Open Sans" w:hAnsi="Open Sans"/>
          <w:color w:val="59595B"/>
          <w:sz w:val="22"/>
          <w:szCs w:val="22"/>
        </w:rPr>
        <w:t xml:space="preserve">8.1 Current vs. Proposed Monthly Recurring</w:t>
      </w:r>
    </w:p>
    <w:p>
      <w:r>
        <w:rPr>
          <w:rFonts w:ascii="Open Sans" w:cs="Open Sans" w:eastAsia="Open Sans" w:hAnsi="Open Sans"/>
          <w:i/>
          <w:iCs/>
          <w:color w:val="59595B"/>
          <w:sz w:val="22"/>
          <w:szCs w:val="22"/>
        </w:rPr>
        <w:t xml:space="preserve">Baseline is the signed MSA-AFFG-2026 Schedule A as reflected on the executed Monthly Service Quote dated March 2026. Under this SOW the endpoint fleet is consolidated from the 16 Windows-priced desktops in the signed Schedule A down to 10 macOS-priced Apple endpoints (4 Mac Minis + 6 MacBook Neos). The 4 legacy devices in offboarding scope (MACBOOK-PRO-4 and 3 Windows systems KIKI/LEON/MAGGIE) are removed from managed inventory. The 31 M365 user services, 6 IP services, 1 domain service, and Virtual Staff Support are not altered by this SOW. Intune BYOD enrollment for the 10 personal phones carries no additional Technijian charge (included in AFFG's existing M365 E3 license).</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Current Monthly (signed MSA Schedule A) = $2,794.50/mo</w:t>
      </w:r>
    </w:p>
    <w:p>
      <w:pPr>
        <w:spacing w:after="120"/>
      </w:pPr>
      <w:r>
        <w:rPr>
          <w:rFonts w:ascii="Open Sans" w:cs="Open Sans" w:eastAsia="Open Sans" w:hAnsi="Open Sans"/>
          <w:color w:val="59595B"/>
          <w:sz w:val="22"/>
          <w:szCs w:val="22"/>
        </w:rPr>
        <w:t xml:space="preserve"/>
      </w:r>
    </w:p>
    <w:tbl>
      <w:tblPr>
        <w:tblW w:type="dxa" w:w="8520"/>
        <w:tblBorders>
          <w:top w:val="single" w:color="auto" w:sz="4"/>
          <w:left w:val="single" w:color="auto" w:sz="4"/>
          <w:bottom w:val="single" w:color="auto" w:sz="4"/>
          <w:right w:val="single" w:color="auto" w:sz="4"/>
          <w:insideH w:val="single" w:color="auto" w:sz="4"/>
          <w:insideV w:val="single" w:color="auto" w:sz="4"/>
        </w:tblBorders>
      </w:tblPr>
      <w:tblGrid>
        <w:gridCol w:w="3360"/>
        <w:gridCol w:w="1800"/>
        <w:gridCol w:w="1800"/>
        <w:gridCol w:w="1560"/>
      </w:tblGrid>
      <w:tr>
        <w:tc>
          <w:tcPr>
            <w:tcW w:type="dxa" w:w="33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Category</w:t>
            </w:r>
          </w:p>
        </w:tc>
        <w:tc>
          <w:tcPr>
            <w:tcW w:type="dxa" w:w="1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Current Monthly</w:t>
            </w:r>
          </w:p>
        </w:tc>
        <w:tc>
          <w:tcPr>
            <w:tcW w:type="dxa" w:w="1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Proposed Monthly</w:t>
            </w:r>
          </w:p>
        </w:tc>
        <w:tc>
          <w:tcPr>
            <w:tcW w:type="dxa" w:w="15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Change</w:t>
            </w:r>
          </w:p>
        </w:tc>
      </w:tr>
      <w:tr>
        <w:tc>
          <w:tcPr>
            <w:tcW w:type="dxa" w:w="3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Endpoint Security Stack (Current: 16 Windows-priced desktops → Proposed: 10 macOS-priced endpoints)</w:t>
            </w:r>
          </w:p>
        </w:tc>
        <w:tc>
          <w:tcPr>
            <w:tcW w:type="dxa" w:w="1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$424.00</w:t>
            </w:r>
          </w:p>
        </w:tc>
        <w:tc>
          <w:tcPr>
            <w:tcW w:type="dxa" w:w="1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$275.00</w:t>
            </w:r>
          </w:p>
        </w:tc>
        <w:tc>
          <w:tcPr>
            <w:tcW w:type="dxa" w:w="15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-$149.00</w:t>
            </w:r>
          </w:p>
        </w:tc>
      </w:tr>
      <w:tr>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Managed Endpoint Control Service (Teramind / MyAudit UAM+DLP — NEW; 10 Macs)</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$0.00</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$1,081.00</w:t>
            </w:r>
          </w:p>
        </w:tc>
        <w:tc>
          <w:tcPr>
            <w:tcW w:type="dxa" w:w="1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+$1,081.00</w:t>
            </w:r>
          </w:p>
        </w:tc>
      </w:tr>
      <w:tr>
        <w:tc>
          <w:tcPr>
            <w:tcW w:type="dxa" w:w="3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M365 User Services (31 users: V365, PHT)</w:t>
            </w:r>
          </w:p>
        </w:tc>
        <w:tc>
          <w:tcPr>
            <w:tcW w:type="dxa" w:w="1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$263.50</w:t>
            </w:r>
          </w:p>
        </w:tc>
        <w:tc>
          <w:tcPr>
            <w:tcW w:type="dxa" w:w="1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$263.50</w:t>
            </w:r>
          </w:p>
        </w:tc>
        <w:tc>
          <w:tcPr>
            <w:tcW w:type="dxa" w:w="15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$0.00</w:t>
            </w:r>
          </w:p>
        </w:tc>
      </w:tr>
      <w:tr>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IP Services (6 IPs: RTPT)</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$42.00</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$42.00</w:t>
            </w:r>
          </w:p>
        </w:tc>
        <w:tc>
          <w:tcPr>
            <w:tcW w:type="dxa" w:w="1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$0.00</w:t>
            </w:r>
          </w:p>
        </w:tc>
      </w:tr>
      <w:tr>
        <w:tc>
          <w:tcPr>
            <w:tcW w:type="dxa" w:w="3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Domain Services (1 domain: SA, DKIM)</w:t>
            </w:r>
          </w:p>
        </w:tc>
        <w:tc>
          <w:tcPr>
            <w:tcW w:type="dxa" w:w="1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$70.00</w:t>
            </w:r>
          </w:p>
        </w:tc>
        <w:tc>
          <w:tcPr>
            <w:tcW w:type="dxa" w:w="1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$70.00</w:t>
            </w:r>
          </w:p>
        </w:tc>
        <w:tc>
          <w:tcPr>
            <w:tcW w:type="dxa" w:w="15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$0.00</w:t>
            </w:r>
          </w:p>
        </w:tc>
      </w:tr>
      <w:tr>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Virtual Staff Support (IRV + CHD + CTO)</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$1,995.00</w:t>
            </w:r>
          </w:p>
        </w:tc>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$1,995.00</w:t>
            </w:r>
          </w:p>
        </w:tc>
        <w:tc>
          <w:tcPr>
            <w:tcW w:type="dxa" w:w="1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$0.00</w:t>
            </w:r>
          </w:p>
        </w:tc>
      </w:tr>
      <w:tr>
        <w:tc>
          <w:tcPr>
            <w:tcW w:type="dxa" w:w="3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TOTAL MONTHLY</w:t>
            </w:r>
          </w:p>
        </w:tc>
        <w:tc>
          <w:tcPr>
            <w:tcW w:type="dxa" w:w="1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$2,794.50</w:t>
            </w:r>
          </w:p>
        </w:tc>
        <w:tc>
          <w:tcPr>
            <w:tcW w:type="dxa" w:w="1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$3,726.50</w:t>
            </w:r>
          </w:p>
        </w:tc>
        <w:tc>
          <w:tcPr>
            <w:tcW w:type="dxa" w:w="15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+$932.00</w:t>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8.2 Current Endpoint Security Stack Detail (16 Windows desktops, per signed MSA)</w:t>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800"/>
        <w:gridCol w:w="1400"/>
        <w:gridCol w:w="1360"/>
      </w:tblGrid>
      <w:tr>
        <w:tc>
          <w:tcPr>
            <w:tcW w:type="dxa" w:w="26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Service</w:t>
            </w:r>
          </w:p>
        </w:tc>
        <w:tc>
          <w:tcPr>
            <w:tcW w:type="dxa" w:w="1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Code</w:t>
            </w:r>
          </w:p>
        </w:tc>
        <w:tc>
          <w:tcPr>
            <w:tcW w:type="dxa" w:w="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Qty</w:t>
            </w:r>
          </w:p>
        </w:tc>
        <w:tc>
          <w:tcPr>
            <w:tcW w:type="dxa" w:w="14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Unit Price</w:t>
            </w:r>
          </w:p>
        </w:tc>
        <w:tc>
          <w:tcPr>
            <w:tcW w:type="dxa" w:w="13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Monthly</w:t>
            </w:r>
          </w:p>
        </w:tc>
      </w:tr>
      <w:tr>
        <w:tc>
          <w:tcPr>
            <w:tcW w:type="dxa" w:w="2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AV Protection — Desktop (CrowdStrike)</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AVD</w:t>
            </w:r>
          </w:p>
        </w:tc>
        <w:tc>
          <w:tcPr>
            <w:tcW w:type="dxa" w:w="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16</w:t>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$8.50</w:t>
            </w:r>
          </w:p>
        </w:tc>
        <w:tc>
          <w:tcPr>
            <w:tcW w:type="dxa" w:w="1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$136.00</w:t>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AVH Protection — Desktop (Huntress)</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AVMH</w:t>
            </w:r>
          </w:p>
        </w:tc>
        <w:tc>
          <w:tcPr>
            <w:tcW w:type="dxa" w:w="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16</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$6.00</w:t>
            </w:r>
          </w:p>
        </w:tc>
        <w:tc>
          <w:tcPr>
            <w:tcW w:type="dxa" w:w="1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$96.00</w:t>
            </w:r>
          </w:p>
        </w:tc>
      </w:tr>
      <w:tr>
        <w:tc>
          <w:tcPr>
            <w:tcW w:type="dxa" w:w="2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My Secure Internet (DNS Filtering — Cisco Umbrella)</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SI</w:t>
            </w:r>
          </w:p>
        </w:tc>
        <w:tc>
          <w:tcPr>
            <w:tcW w:type="dxa" w:w="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16</w:t>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$6.00</w:t>
            </w:r>
          </w:p>
        </w:tc>
        <w:tc>
          <w:tcPr>
            <w:tcW w:type="dxa" w:w="1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$96.00</w:t>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Patch Management — Windows</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PMW</w:t>
            </w:r>
          </w:p>
        </w:tc>
        <w:tc>
          <w:tcPr>
            <w:tcW w:type="dxa" w:w="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16</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$4.00</w:t>
            </w:r>
          </w:p>
        </w:tc>
        <w:tc>
          <w:tcPr>
            <w:tcW w:type="dxa" w:w="1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$64.00</w:t>
            </w:r>
          </w:p>
        </w:tc>
      </w:tr>
      <w:tr>
        <w:tc>
          <w:tcPr>
            <w:tcW w:type="dxa" w:w="2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My Remote</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MR</w:t>
            </w:r>
          </w:p>
        </w:tc>
        <w:tc>
          <w:tcPr>
            <w:tcW w:type="dxa" w:w="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16</w:t>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$2.00</w:t>
            </w:r>
          </w:p>
        </w:tc>
        <w:tc>
          <w:tcPr>
            <w:tcW w:type="dxa" w:w="1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$32.00</w:t>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Subtotal (signed)</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16</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$26.50</w:t>
            </w:r>
          </w:p>
        </w:tc>
        <w:tc>
          <w:tcPr>
            <w:tcW w:type="dxa" w:w="1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$424.00</w:t>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8.3 Proposed Endpoint Stack Detail (10 macOS endpoints)</w:t>
      </w:r>
    </w:p>
    <w:p>
      <w:r>
        <w:rPr>
          <w:rFonts w:ascii="Open Sans" w:cs="Open Sans" w:eastAsia="Open Sans" w:hAnsi="Open Sans"/>
          <w:i/>
          <w:iCs/>
          <w:color w:val="59595B"/>
          <w:sz w:val="22"/>
          <w:szCs w:val="22"/>
        </w:rPr>
        <w:t xml:space="preserve">All pricing in this Section 8 is drawn from the Technijian Services Price List (Appendix A, rev 2026-03-23). The final Rev 3 macOS endpoint stack consists of CrowdStrike Falcon for Mac (AVD, $8.50), Huntress macOS (AVMH, $6.00), ManageEngine Patch Management for macOS (PMMAC, $11.00), and My Remote / ScreenConnect (MR, $2.00) — all per-device monthly. Cisco Umbrella (SI, $6.00) is REMOVED from the stack in this revision: it is uninstalled from the 2 pre-onboarded Mac Minis under Ticket AFFG-004-027 and is not deployed on any of the 8 new Macs. Patch management switches from Windows PMW ($4.00) to macOS PMMAC ($11.00) — a $7 per-unit uplift driven by the higher operational cost of macOS patch orchestration. The reduction in unit count (16 Windows → 10 macOS) combined with removal of the SI line and the PMMAC uplift produces a net -$149.00/mo change on the security stack. The Managed Endpoint Control Service (Teramind / MyAudit UAM+DLP, AMDLP1Y at $108.10/device) is the single NEW recurring line added by this SOW and satisfies the Reg S-P 2024 endpoint DLP and FINRA 3110 supervisory user-activity monitoring requirements.</w:t>
      </w:r>
    </w:p>
    <w:p>
      <w:pPr>
        <w:spacing w:after="120"/>
      </w:pPr>
      <w:r>
        <w:rPr>
          <w:rFonts w:ascii="Open Sans" w:cs="Open Sans" w:eastAsia="Open Sans" w:hAnsi="Open Sans"/>
          <w:color w:val="59595B"/>
          <w:sz w:val="22"/>
          <w:szCs w:val="22"/>
        </w:rPr>
        <w:t xml:space="preserve"/>
      </w:r>
    </w:p>
    <w:tbl>
      <w:tblPr>
        <w:tblW w:type="dxa" w:w="7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800"/>
        <w:gridCol w:w="1400"/>
        <w:gridCol w:w="1360"/>
      </w:tblGrid>
      <w:tr>
        <w:tc>
          <w:tcPr>
            <w:tcW w:type="dxa" w:w="26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Service</w:t>
            </w:r>
          </w:p>
        </w:tc>
        <w:tc>
          <w:tcPr>
            <w:tcW w:type="dxa" w:w="1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Code</w:t>
            </w:r>
          </w:p>
        </w:tc>
        <w:tc>
          <w:tcPr>
            <w:tcW w:type="dxa" w:w="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Qty</w:t>
            </w:r>
          </w:p>
        </w:tc>
        <w:tc>
          <w:tcPr>
            <w:tcW w:type="dxa" w:w="14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Unit Price</w:t>
            </w:r>
          </w:p>
        </w:tc>
        <w:tc>
          <w:tcPr>
            <w:tcW w:type="dxa" w:w="13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Monthly</w:t>
            </w:r>
          </w:p>
        </w:tc>
      </w:tr>
      <w:tr>
        <w:tc>
          <w:tcPr>
            <w:tcW w:type="dxa" w:w="2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Endpoint Security Stack (10 macOS units)</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1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AV Protection — CrowdStrike Falcon for Mac</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AVD</w:t>
            </w:r>
          </w:p>
        </w:tc>
        <w:tc>
          <w:tcPr>
            <w:tcW w:type="dxa" w:w="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10</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$8.50</w:t>
            </w:r>
          </w:p>
        </w:tc>
        <w:tc>
          <w:tcPr>
            <w:tcW w:type="dxa" w:w="1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$85.00</w:t>
            </w:r>
          </w:p>
        </w:tc>
      </w:tr>
      <w:tr>
        <w:tc>
          <w:tcPr>
            <w:tcW w:type="dxa" w:w="2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AVH Protection — Huntress macOS</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AVMH</w:t>
            </w:r>
          </w:p>
        </w:tc>
        <w:tc>
          <w:tcPr>
            <w:tcW w:type="dxa" w:w="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10</w:t>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$6.00</w:t>
            </w:r>
          </w:p>
        </w:tc>
        <w:tc>
          <w:tcPr>
            <w:tcW w:type="dxa" w:w="1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$60.00</w:t>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Patch Management — macOS (ManageEngine)</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PMMAC</w:t>
            </w:r>
          </w:p>
        </w:tc>
        <w:tc>
          <w:tcPr>
            <w:tcW w:type="dxa" w:w="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10</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$11.00</w:t>
            </w:r>
          </w:p>
        </w:tc>
        <w:tc>
          <w:tcPr>
            <w:tcW w:type="dxa" w:w="1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$110.00</w:t>
            </w:r>
          </w:p>
        </w:tc>
      </w:tr>
      <w:tr>
        <w:tc>
          <w:tcPr>
            <w:tcW w:type="dxa" w:w="2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My Remote / ScreenConnect (macOS)</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MR</w:t>
            </w:r>
          </w:p>
        </w:tc>
        <w:tc>
          <w:tcPr>
            <w:tcW w:type="dxa" w:w="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10</w:t>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$2.00</w:t>
            </w:r>
          </w:p>
        </w:tc>
        <w:tc>
          <w:tcPr>
            <w:tcW w:type="dxa" w:w="1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$20.00</w:t>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Subtotal — Endpoint Security Stack</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10</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$27.50</w:t>
            </w:r>
          </w:p>
        </w:tc>
        <w:tc>
          <w:tcPr>
            <w:tcW w:type="dxa" w:w="1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$275.00</w:t>
            </w:r>
          </w:p>
        </w:tc>
      </w:tr>
      <w:tr>
        <w:tc>
          <w:tcPr>
            <w:tcW w:type="dxa" w:w="2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Managed Endpoint Control Service (NEW)</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1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r>
      <w:tr>
        <w:tc>
          <w:tcPr>
            <w:tcW w:type="dxa" w:w="2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Teramind / MyAudit UAM+DLP / 1-Year</w:t>
            </w:r>
          </w:p>
        </w:tc>
        <w:tc>
          <w:tcPr>
            <w:tcW w:type="dxa" w:w="1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AMDLP1Y</w:t>
            </w:r>
          </w:p>
        </w:tc>
        <w:tc>
          <w:tcPr>
            <w:tcW w:type="dxa" w:w="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10</w:t>
            </w:r>
          </w:p>
        </w:tc>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$108.10</w:t>
            </w:r>
          </w:p>
        </w:tc>
        <w:tc>
          <w:tcPr>
            <w:tcW w:type="dxa" w:w="1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$1,081.00</w:t>
            </w:r>
          </w:p>
        </w:tc>
      </w:tr>
      <w:tr>
        <w:tc>
          <w:tcPr>
            <w:tcW w:type="dxa" w:w="26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Subtotal per Mac endpoint</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
            </w:r>
          </w:p>
        </w:tc>
        <w:tc>
          <w:tcPr>
            <w:tcW w:type="dxa" w:w="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10</w:t>
            </w:r>
          </w:p>
        </w:tc>
        <w:tc>
          <w:tcPr>
            <w:tcW w:type="dxa" w:w="14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$135.60</w:t>
            </w:r>
          </w:p>
        </w:tc>
        <w:tc>
          <w:tcPr>
            <w:tcW w:type="dxa" w:w="1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bCs/>
                <w:color w:val="59595B"/>
                <w:sz w:val="20"/>
                <w:szCs w:val="20"/>
              </w:rPr>
              <w:t xml:space="preserve">$1,356.00</w:t>
            </w:r>
          </w:p>
        </w:tc>
      </w:tr>
    </w:tbl>
    <w:p>
      <w:pPr>
        <w:spacing w:after="120"/>
      </w:pPr>
      <w:r>
        <w:rPr>
          <w:rFonts w:ascii="Open Sans" w:cs="Open Sans" w:eastAsia="Open Sans" w:hAnsi="Open Sans"/>
          <w:color w:val="59595B"/>
          <w:sz w:val="22"/>
          <w:szCs w:val="22"/>
        </w:rPr>
        <w:t xml:space="preserve"/>
      </w:r>
    </w:p>
    <w:p>
      <w:r>
        <w:rPr>
          <w:rFonts w:ascii="Open Sans" w:cs="Open Sans" w:eastAsia="Open Sans" w:hAnsi="Open Sans"/>
          <w:i/>
          <w:iCs/>
          <w:color w:val="59595B"/>
          <w:sz w:val="22"/>
          <w:szCs w:val="22"/>
        </w:rPr>
        <w:t xml:space="preserve">Notes: Intune management for the 10 Apple endpoints and the 10 personally-owned phones (iOS via ABM User Enrollment; Android via Android Enterprise Work Profile) is included in the M365 E3 license AFFG already holds — no additional Technijian charge. Apple Business Manager is procured by AFFG at no cost. CloudBrink ZTNA subscription is AFFG-procured and is therefore excluded from the Schedule A amendment (Technijian handles deployment and configuration under Phase 2). Per-managed-Mac monthly = $135.60 ($27.50 endpoint security + $108.10 Teramind). SSO-2FA and Credential Manager are NOT included in this revision.</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9. CHANGE MANAGEMENT</w:t>
      </w:r>
    </w:p>
    <w:p>
      <w:r>
        <w:rPr>
          <w:rFonts w:ascii="Open Sans" w:cs="Open Sans" w:eastAsia="Open Sans" w:hAnsi="Open Sans"/>
          <w:color w:val="59595B"/>
          <w:sz w:val="22"/>
          <w:szCs w:val="22"/>
        </w:rPr>
        <w:t xml:space="preserve">9.01. Any changes to the scope, schedule, or pricing of this SOW must be documented in a written Change Order signed by both Parties before work on the change begins.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9.02. If Client requests work outside the defined scope, Technijian shall provide a Change Order detailing the additional work, estimated hours, and cost impact.</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9.03. Technijian shall not proceed with out-of-scope work without an approved Change Order, except in cases where delay would result in harm to Client’s systems, in which case Technijian shall notify Client as soon as practicable.</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10. ACCEPTANCE</w:t>
      </w:r>
    </w:p>
    <w:p>
      <w:r>
        <w:rPr>
          <w:rFonts w:ascii="Open Sans" w:cs="Open Sans" w:eastAsia="Open Sans" w:hAnsi="Open Sans"/>
          <w:color w:val="59595B"/>
          <w:sz w:val="22"/>
          <w:szCs w:val="22"/>
        </w:rPr>
        <w:t xml:space="preserve">10.01. Upon completion of each phase, Technijian shall notify Client in writing that the deliverables are ready for review.</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10.02. Client shall review the deliverables and provide written acceptance or a detailed description of deficiencies within five (5) business days.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10.03. If Client does not respond within the review period, the deliverables shall be deemed accepted.</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10.04. If deficiencies are identified, Technijian shall correct them and resubmit for review. This process shall repeat until acceptance is achieved or the Parties agree on a resolution.</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11. GOVERNING TERMS</w:t>
      </w:r>
    </w:p>
    <w:p>
      <w:r>
        <w:rPr>
          <w:rFonts w:ascii="Open Sans" w:cs="Open Sans" w:eastAsia="Open Sans" w:hAnsi="Open Sans"/>
          <w:color w:val="59595B"/>
          <w:sz w:val="22"/>
          <w:szCs w:val="22"/>
        </w:rPr>
        <w:t xml:space="preserve">11.01. This SOW is governed by the Client Monthly Service Agreement between the Parties executed via DocuSign on March 11, 2026 (DocuSign Envelope F3CDFC05-B156-8A6F-8020-13A164F4E3F1) (the “Original Agreement”), as amended by Section 12 of this SOW. In the event of a conflict between this SOW (including Section 12 and Exhibit A) and the Original Agreement, this SOW shall prevail.</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12. INCORPORATION OF 2026 MSA FRAMEWORK (AMENDMENT TO ORIGINAL AGREEMENT)</w:t>
      </w:r>
    </w:p>
    <w:p>
      <w:r>
        <w:rPr>
          <w:rFonts w:ascii="Open Sans" w:cs="Open Sans" w:eastAsia="Open Sans" w:hAnsi="Open Sans"/>
          <w:color w:val="59595B"/>
          <w:sz w:val="22"/>
          <w:szCs w:val="22"/>
        </w:rPr>
        <w:t xml:space="preserve">12.01. Purpose. This Section 12 is a mutual written amendment to the Original Agreement, executed pursuant to California Civil Code § 1698(a) (“A contract in writing may be modified by a contract in writing”). The Parties enter into this amendment to update the Original Agreement to reflect Technijian’s 2026 Master Service Agreement framework, which contains additional legal and data-protection provisions appropriate to AFFG’s status as a dually registered Investment Adviser and Broker-Dealer subject to SEC Regulation S-P (including the 2024 Amendments), FINRA Rule 3110, FINRA Rule 4370, and SEC Rule 17a-4.</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12.02. Incorporation by Reference. Upon execution of this SOW by both Parties, Sections 2 through 10 of Technijian’s 2026 Master Service Agreement framework (the “MSA Framework Provisions”), the full text of which is set forth in Exhibit A attached hereto and incorporated herein by this reference, shall apply to the Original Agreement and to this SOW as if fully set forth in the Original Agreement.</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12.03. Addition and Substitution. The MSA Framework Provisions supplement the Original Agreement and, to the extent of any conflict with a corresponding provision of the Original Agreement, supersede such corresponding provision. For clarity:</w:t>
      </w:r>
    </w:p>
    <w:p>
      <w:pPr>
        <w:pStyle w:val="ListParagraph"/>
        <w:numPr>
          <w:ilvl w:val="0"/>
          <w:numId w:val="7"/>
        </w:numPr>
      </w:pPr>
      <w:r>
        <w:rPr>
          <w:rFonts w:ascii="Open Sans" w:cs="Open Sans" w:eastAsia="Open Sans" w:hAnsi="Open Sans"/>
          <w:color w:val="59595B"/>
          <w:sz w:val="22"/>
          <w:szCs w:val="22"/>
        </w:rPr>
        <w:t xml:space="preserve">Section 2 (Term and Renewal), Section 3 (Payment), Section 4 (Confidentiality), Section 5 (Limitation of Liability), Section 6 (Indemnification), Section 7 (Intellectual Property), Section 8 (Dispute Resolution), Section 9 (General Provisions), and Section 10 (Data Protection) of the MSA Framework Provisions are added to the Original Agreement.</w:t>
      </w:r>
    </w:p>
    <w:p>
      <w:pPr>
        <w:pStyle w:val="ListParagraph"/>
        <w:numPr>
          <w:ilvl w:val="0"/>
          <w:numId w:val="7"/>
        </w:numPr>
      </w:pPr>
      <w:r>
        <w:rPr>
          <w:rFonts w:ascii="Open Sans" w:cs="Open Sans" w:eastAsia="Open Sans" w:hAnsi="Open Sans"/>
          <w:color w:val="59595B"/>
          <w:sz w:val="22"/>
          <w:szCs w:val="22"/>
        </w:rPr>
        <w:t xml:space="preserve">The late-fee rate of 1.5% per month stated in the Original Agreement is consistent with Section 3.04 of the MSA Framework Provisions and remains unchanged.</w:t>
      </w:r>
    </w:p>
    <w:p>
      <w:pPr>
        <w:pStyle w:val="ListParagraph"/>
        <w:numPr>
          <w:ilvl w:val="0"/>
          <w:numId w:val="7"/>
        </w:numPr>
      </w:pPr>
      <w:r>
        <w:rPr>
          <w:rFonts w:ascii="Open Sans" w:cs="Open Sans" w:eastAsia="Open Sans" w:hAnsi="Open Sans"/>
          <w:color w:val="59595B"/>
          <w:sz w:val="22"/>
          <w:szCs w:val="22"/>
        </w:rPr>
        <w:t xml:space="preserve">The Virtual Staff Support hours and rates under the Original Agreement (CTO Advisory 3 hrs @ $225, US Tech Support 6 hrs @ $125, India Tech Normal 22 hrs @ $15, India Tech After-Hours 8 hrs @ $30) remain UNCHANGED and carry forward.</w:t>
      </w:r>
    </w:p>
    <w:p>
      <w:pPr>
        <w:pStyle w:val="ListParagraph"/>
        <w:numPr>
          <w:ilvl w:val="0"/>
          <w:numId w:val="7"/>
        </w:numPr>
      </w:pPr>
      <w:r>
        <w:rPr>
          <w:rFonts w:ascii="Open Sans" w:cs="Open Sans" w:eastAsia="Open Sans" w:hAnsi="Open Sans"/>
          <w:color w:val="59595B"/>
          <w:sz w:val="22"/>
          <w:szCs w:val="22"/>
        </w:rPr>
        <w:t xml:space="preserve">Section 9.01 (Entire Agreement) of the MSA Framework Provisions is hereby modified, for purposes of this amendment only, to provide that the Original Agreement is amended (not superseded) by this Section 12, and that the monthly service charges under the Original Agreement shall be updated only as expressly provided in Section 8 of this SOW.</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12.04. Effect on Services. Upon execution, all services provided by Technijian to Client — including the recurring services under Schedule A of the Original Agreement, the services described in this SOW, and any future Statement of Work executed between the Parties — shall be governed by the Original Agreement as amended by this Section 12. Future Statements of Work may reference the “Parent Agreement” as “Client Monthly Service Agreement as amended by SOW-AFFG-004 Section 12.”</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12.05. No Other Changes. Except as expressly modified by this Section 12 and Section 8 of this SOW, the Original Agreement remains in full force and effect. Services already rendered, fees already paid, and rights already accrued under the Original Agreement are not affected.</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12.06. Severability. If any provision of this Section 12 or of Exhibit A is held invalid or unenforceable by a court of competent jurisdiction, the remaining provisions of the Original Agreement (as amended) and this SOW shall continue in full force and effect.</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12.07. Effective Date of Amendment. This amendment is effective upon execution of this SOW by authorized representatives of both Parties, and the MSA Framework Provisions shall govern services from and after the Effective Date stated in the SOW header.</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12.08. Template Currency Acknowledgment. The MSA Framework Provisions set forth in Exhibit A reflect Technijian’s 2026 MSA framework as most recently revised on April 24, 2026, including the revised Section 2.05 (Operational Continuity Materials) and Section 9.09 (Recruiting Cost Reimbursement). Technijian has commenced a legal-counsel review pass on this framework that has not yet been finalized as of the Effective Date. During the sixty (60) day period following execution of this SOW, either Party may propose conforming edits to Exhibit A to reflect any final clarifications or corrections issued by Technijian’s legal counsel; proposed edits that are mutually agreed in a writing signed by both Parties shall amend Exhibit A as of the date of such mutual written agreement. For the avoidance of doubt, this Section 12.08 does not cause Exhibit A or any portion of this Section 12 to be less than immediately effective and binding on the Parties upon execution of this SOW.</w:t>
      </w:r>
    </w:p>
    <w:p>
      <w:pPr>
        <w:pBdr>
          <w:bottom w:val="single" w:color="006DB6" w:sz="3"/>
        </w:pBdr>
        <w:spacing w:after="200" w:before="200"/>
      </w:pPr>
    </w:p>
    <w:p>
      <w:pPr>
        <w:pStyle w:val="Heading1"/>
      </w:pPr>
      <w:r>
        <w:rPr>
          <w:rFonts w:ascii="Open Sans" w:cs="Open Sans" w:eastAsia="Open Sans" w:hAnsi="Open Sans"/>
          <w:color w:val="59595B"/>
          <w:sz w:val="22"/>
          <w:szCs w:val="22"/>
        </w:rPr>
        <w:t xml:space="preserve">SIGNATURES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TECHNIJIAN, INC.</w:t>
      </w:r>
    </w:p>
    <w:p>
      <w:pPr>
        <w:spacing w:after="120"/>
      </w:pPr>
      <w:r>
        <w:rPr>
          <w:rFonts w:ascii="Open Sans" w:cs="Open Sans" w:eastAsia="Open Sans" w:hAnsi="Open Sans"/>
          <w:color w:val="59595B"/>
          <w:sz w:val="22"/>
          <w:szCs w:val="22"/>
        </w:rPr>
        <w:t xml:space="preserve"/>
      </w:r>
    </w:p>
    <w:p>
      <w:pPr>
        <w:spacing w:after="40"/>
      </w:pPr>
      <w:r>
        <w:rPr>
          <w:rFonts w:ascii="Open Sans" w:cs="Open Sans" w:eastAsia="Open Sans" w:hAnsi="Open Sans"/>
          <w:color w:val="FFFFFF"/>
          <w:sz w:val="2"/>
          <w:szCs w:val="2"/>
        </w:rPr>
        <w:t xml:space="preserve">/tSign/</w:t>
      </w:r>
      <w:r>
        <w:rPr>
          <w:rFonts w:ascii="Open Sans" w:cs="Open Sans" w:eastAsia="Open Sans" w:hAnsi="Open Sans"/>
          <w:color w:val="59595B"/>
          <w:sz w:val="20"/>
          <w:szCs w:val="20"/>
        </w:rPr>
        <w:t xml:space="preserve">By: ___________________________________</w:t>
      </w:r>
    </w:p>
    <w:p>
      <w:pPr>
        <w:spacing w:after="40"/>
      </w:pPr>
      <w:r>
        <w:rPr>
          <w:rFonts w:ascii="Open Sans" w:cs="Open Sans" w:eastAsia="Open Sans" w:hAnsi="Open Sans"/>
          <w:color w:val="FFFFFF"/>
          <w:sz w:val="2"/>
          <w:szCs w:val="2"/>
        </w:rPr>
        <w:t xml:space="preserve">/tName/</w:t>
      </w:r>
      <w:r>
        <w:rPr>
          <w:rFonts w:ascii="Open Sans" w:cs="Open Sans" w:eastAsia="Open Sans" w:hAnsi="Open Sans"/>
          <w:color w:val="59595B"/>
          <w:sz w:val="20"/>
          <w:szCs w:val="20"/>
        </w:rPr>
        <w:t xml:space="preserve">Name: _________________________________</w:t>
      </w:r>
    </w:p>
    <w:p>
      <w:pPr>
        <w:spacing w:after="40"/>
      </w:pPr>
      <w:r>
        <w:rPr>
          <w:rFonts w:ascii="Open Sans" w:cs="Open Sans" w:eastAsia="Open Sans" w:hAnsi="Open Sans"/>
          <w:color w:val="FFFFFF"/>
          <w:sz w:val="2"/>
          <w:szCs w:val="2"/>
        </w:rPr>
        <w:t xml:space="preserve">/tTitle/</w:t>
      </w:r>
      <w:r>
        <w:rPr>
          <w:rFonts w:ascii="Open Sans" w:cs="Open Sans" w:eastAsia="Open Sans" w:hAnsi="Open Sans"/>
          <w:color w:val="59595B"/>
          <w:sz w:val="20"/>
          <w:szCs w:val="20"/>
        </w:rPr>
        <w:t xml:space="preserve">Title: _________________________________</w:t>
      </w:r>
    </w:p>
    <w:p>
      <w:pPr>
        <w:spacing w:after="40"/>
      </w:pPr>
      <w:r>
        <w:rPr>
          <w:rFonts w:ascii="Open Sans" w:cs="Open Sans" w:eastAsia="Open Sans" w:hAnsi="Open Sans"/>
          <w:color w:val="FFFFFF"/>
          <w:sz w:val="2"/>
          <w:szCs w:val="2"/>
        </w:rPr>
        <w:t xml:space="preserve">/tDate/</w:t>
      </w:r>
      <w:r>
        <w:rPr>
          <w:rFonts w:ascii="Open Sans" w:cs="Open Sans" w:eastAsia="Open Sans" w:hAnsi="Open Sans"/>
          <w:color w:val="59595B"/>
          <w:sz w:val="20"/>
          <w:szCs w:val="20"/>
        </w:rPr>
        <w:t xml:space="preserve">Date: _________________________________</w:t>
      </w:r>
    </w:p>
    <w:p>
      <w:pPr>
        <w:spacing w:after="120"/>
      </w:pPr>
      <w:r>
        <w:rPr>
          <w:rFonts w:ascii="Open Sans" w:cs="Open Sans" w:eastAsia="Open Sans" w:hAnsi="Open Sans"/>
          <w:color w:val="59595B"/>
          <w:sz w:val="22"/>
          <w:szCs w:val="22"/>
        </w:rPr>
        <w:t xml:space="preserve"/>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AMERICAN FUNDSTARS FINANCIAL GROUP LLC</w:t>
      </w:r>
    </w:p>
    <w:p>
      <w:pPr>
        <w:spacing w:after="120"/>
      </w:pPr>
      <w:r>
        <w:rPr>
          <w:rFonts w:ascii="Open Sans" w:cs="Open Sans" w:eastAsia="Open Sans" w:hAnsi="Open Sans"/>
          <w:color w:val="59595B"/>
          <w:sz w:val="22"/>
          <w:szCs w:val="22"/>
        </w:rPr>
        <w:t xml:space="preserve"/>
      </w:r>
    </w:p>
    <w:p>
      <w:pPr>
        <w:spacing w:after="40"/>
      </w:pPr>
      <w:r>
        <w:rPr>
          <w:rFonts w:ascii="Open Sans" w:cs="Open Sans" w:eastAsia="Open Sans" w:hAnsi="Open Sans"/>
          <w:color w:val="FFFFFF"/>
          <w:sz w:val="2"/>
          <w:szCs w:val="2"/>
        </w:rPr>
        <w:t xml:space="preserve">/cSign/</w:t>
      </w:r>
      <w:r>
        <w:rPr>
          <w:rFonts w:ascii="Open Sans" w:cs="Open Sans" w:eastAsia="Open Sans" w:hAnsi="Open Sans"/>
          <w:color w:val="59595B"/>
          <w:sz w:val="20"/>
          <w:szCs w:val="20"/>
        </w:rPr>
        <w:t xml:space="preserve">By: ___________________________________</w:t>
      </w:r>
    </w:p>
    <w:p>
      <w:pPr>
        <w:spacing w:after="40"/>
      </w:pPr>
      <w:r>
        <w:rPr>
          <w:rFonts w:ascii="Open Sans" w:cs="Open Sans" w:eastAsia="Open Sans" w:hAnsi="Open Sans"/>
          <w:color w:val="FFFFFF"/>
          <w:sz w:val="2"/>
          <w:szCs w:val="2"/>
        </w:rPr>
        <w:t xml:space="preserve">/cName/</w:t>
      </w:r>
      <w:r>
        <w:rPr>
          <w:rFonts w:ascii="Open Sans" w:cs="Open Sans" w:eastAsia="Open Sans" w:hAnsi="Open Sans"/>
          <w:color w:val="59595B"/>
          <w:sz w:val="20"/>
          <w:szCs w:val="20"/>
        </w:rPr>
        <w:t xml:space="preserve">Name: _________________________________</w:t>
      </w:r>
    </w:p>
    <w:p>
      <w:pPr>
        <w:spacing w:after="40"/>
      </w:pPr>
      <w:r>
        <w:rPr>
          <w:rFonts w:ascii="Open Sans" w:cs="Open Sans" w:eastAsia="Open Sans" w:hAnsi="Open Sans"/>
          <w:color w:val="FFFFFF"/>
          <w:sz w:val="2"/>
          <w:szCs w:val="2"/>
        </w:rPr>
        <w:t xml:space="preserve">/cTitle/</w:t>
      </w:r>
      <w:r>
        <w:rPr>
          <w:rFonts w:ascii="Open Sans" w:cs="Open Sans" w:eastAsia="Open Sans" w:hAnsi="Open Sans"/>
          <w:color w:val="59595B"/>
          <w:sz w:val="20"/>
          <w:szCs w:val="20"/>
        </w:rPr>
        <w:t xml:space="preserve">Title: _________________________________</w:t>
      </w:r>
    </w:p>
    <w:p>
      <w:pPr>
        <w:spacing w:after="40"/>
      </w:pPr>
      <w:r>
        <w:rPr>
          <w:rFonts w:ascii="Open Sans" w:cs="Open Sans" w:eastAsia="Open Sans" w:hAnsi="Open Sans"/>
          <w:color w:val="FFFFFF"/>
          <w:sz w:val="2"/>
          <w:szCs w:val="2"/>
        </w:rPr>
        <w:t xml:space="preserve">/cDate/</w:t>
      </w:r>
      <w:r>
        <w:rPr>
          <w:rFonts w:ascii="Open Sans" w:cs="Open Sans" w:eastAsia="Open Sans" w:hAnsi="Open Sans"/>
          <w:color w:val="59595B"/>
          <w:sz w:val="20"/>
          <w:szCs w:val="20"/>
        </w:rPr>
        <w:t xml:space="preserve">Date: _________________________________</w:t>
      </w:r>
    </w:p>
    <w:p>
      <w:r>
        <w:br w:type="page"/>
      </w:r>
    </w:p>
    <w:p>
      <w:pPr>
        <w:pStyle w:val="Heading1"/>
      </w:pPr>
      <w:r>
        <w:rPr>
          <w:rFonts w:ascii="Open Sans" w:cs="Open Sans" w:eastAsia="Open Sans" w:hAnsi="Open Sans"/>
          <w:color w:val="59595B"/>
          <w:sz w:val="22"/>
          <w:szCs w:val="22"/>
        </w:rPr>
        <w:t xml:space="preserve">EXHIBIT A — 2026 MSA FRAMEWORK PROVISIONS INCORPORATED BY REFERENCE</w:t>
      </w:r>
    </w:p>
    <w:p>
      <w:r>
        <w:rPr>
          <w:rFonts w:ascii="Open Sans" w:cs="Open Sans" w:eastAsia="Open Sans" w:hAnsi="Open Sans"/>
          <w:i/>
          <w:iCs/>
          <w:color w:val="59595B"/>
          <w:sz w:val="22"/>
          <w:szCs w:val="22"/>
        </w:rPr>
        <w:t xml:space="preserve">The following provisions (Sections 2 through 10) are the “MSA Framework Provisions” incorporated into the Original Agreement by Section 12 of this SOW. This Exhibit A is an integral part of this SOW and of the Original Agreement as amended. Capitalized terms not defined herein have the meanings given in the Original Agreement or the SOW body.</w:t>
      </w:r>
    </w:p>
    <w:p>
      <w:pPr>
        <w:pBdr>
          <w:bottom w:val="single" w:color="006DB6" w:sz="3"/>
        </w:pBdr>
        <w:spacing w:after="200" w:before="200"/>
      </w:pPr>
    </w:p>
    <w:p>
      <w:pPr>
        <w:pStyle w:val="Heading2"/>
      </w:pPr>
      <w:r>
        <w:rPr>
          <w:rFonts w:ascii="Open Sans" w:cs="Open Sans" w:eastAsia="Open Sans" w:hAnsi="Open Sans"/>
          <w:color w:val="59595B"/>
          <w:sz w:val="22"/>
          <w:szCs w:val="22"/>
        </w:rPr>
        <w:t xml:space="preserve">SECTION 2 — TERM AND RENEWAL</w:t>
      </w:r>
    </w:p>
    <w:p>
      <w:r>
        <w:rPr>
          <w:rFonts w:ascii="Open Sans" w:cs="Open Sans" w:eastAsia="Open Sans" w:hAnsi="Open Sans"/>
          <w:color w:val="59595B"/>
          <w:sz w:val="22"/>
          <w:szCs w:val="22"/>
        </w:rPr>
        <w:t xml:space="preserve">2.01. Initial Term. This Agreement shall commence on the Effective Date and continue for a period of twelve (12) months (the “Initial Term”).</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2.02. Renewal. Upon expiration of the Initial Term, this Agreement shall automatically renew for successive twelve (12) month periods (each a “Renewal Term”), unless either Party provides written notice of non-renewal at least sixty (60) days prior to the expiration of the then-current term. Technijian shall send Client a written renewal reminder at least thirty (30) days prior to each renewal date, which shall restate the auto-renewal terms and cancellation method.</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2.03. Termination for Convenience. Either Party may terminate this Agreement for any reason upon sixty (60) days written notice to the other Party.</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2.04. Termination for Cause. Either Party may terminate this Agreement immediately upon written notice if the other Party:</w:t>
      </w:r>
    </w:p>
    <w:p>
      <w:r>
        <w:rPr>
          <w:rFonts w:ascii="Open Sans" w:cs="Open Sans" w:eastAsia="Open Sans" w:hAnsi="Open Sans"/>
          <w:color w:val="59595B"/>
          <w:sz w:val="22"/>
          <w:szCs w:val="22"/>
        </w:rPr>
        <w:t xml:space="preserve">(a) Commits a material breach of this Agreement and fails to cure such breach within thirty (30) days after receiving written notice of the breach; or</w:t>
      </w:r>
    </w:p>
    <w:p>
      <w:r>
        <w:rPr>
          <w:rFonts w:ascii="Open Sans" w:cs="Open Sans" w:eastAsia="Open Sans" w:hAnsi="Open Sans"/>
          <w:color w:val="59595B"/>
          <w:sz w:val="22"/>
          <w:szCs w:val="22"/>
        </w:rPr>
        <w:t xml:space="preserve">(b) Becomes insolvent, files for bankruptcy, or has a receiver appointed for its assets.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2.05. Effect of Termination.</w:t>
      </w:r>
    </w:p>
    <w:p>
      <w:r>
        <w:rPr>
          <w:rFonts w:ascii="Open Sans" w:cs="Open Sans" w:eastAsia="Open Sans" w:hAnsi="Open Sans"/>
          <w:color w:val="59595B"/>
          <w:sz w:val="22"/>
          <w:szCs w:val="22"/>
        </w:rPr>
        <w:t xml:space="preserve">(a) Upon termination, Client shall pay all fees and charges for services rendered through the date of termination, including any remaining obligations for annual licenses and subscriptions procured on Client’s behalf, and any unpaid balance of contracted Virtual Staff Support hours actually worked in excess of contracted levels.</w:t>
      </w:r>
    </w:p>
    <w:p>
      <w:r>
        <w:rPr>
          <w:rFonts w:ascii="Open Sans" w:cs="Open Sans" w:eastAsia="Open Sans" w:hAnsi="Open Sans"/>
          <w:color w:val="59595B"/>
          <w:sz w:val="22"/>
          <w:szCs w:val="22"/>
        </w:rPr>
        <w:t xml:space="preserve">(b) Technijian shall provide reasonable transition assistance for a period of up to thirty (30) days following termination, subject to payment of applicable fees. Such transition assistance may be conditioned upon payment of outstanding undisputed balances, except for the Operational Continuity Materials defined in subsection (c) below, which shall be transferred regardless of payment status.</w:t>
      </w:r>
    </w:p>
    <w:p>
      <w:r>
        <w:rPr>
          <w:rFonts w:ascii="Open Sans" w:cs="Open Sans" w:eastAsia="Open Sans" w:hAnsi="Open Sans"/>
          <w:color w:val="59595B"/>
          <w:sz w:val="22"/>
          <w:szCs w:val="22"/>
        </w:rPr>
        <w:t xml:space="preserve">(c) Operational Continuity Materials. Notwithstanding any other provision of this Agreement (including any lien, setoff, or retention right), upon termination — or upon earlier written request by Client — Technijian shall transfer to Client or to a successor provider designated by Client, within five (5) business days, the following (the “Operational Continuity Materials”): (i) administrative, Global Administrator, root, or equivalent credentials to any Client-owned tenant, account, or system (including Microsoft 365, Azure, Entra ID, Apple Business Manager, Intune, CloudBrink, and any Client custodian- or regulator-facing system); (ii) DNS and domain-registrar control of Client-owned domains; (iii) break-glass credentials and recovery codes; (iv) information necessary to maintain the operation of any life-safety, regulatory-reporting, or other system whose interruption could cause physical harm, legal liability, or regulatory violation; and (v) all Client Data and records whose retention by Client is required by applicable law, regulation, or SRO rule (including SEC Rule 17a-4, FINRA Rule 4511, and the FTC Safeguards Rule). The Operational Continuity Materials shall not be withheld, conditioned, or delayed on account of any unpaid balance or dispute; Technijian’s rights as to unpaid balances are preserved through the other remedies set forth in this Agreement, and not through retention of Operational Continuity Materials.</w:t>
      </w:r>
    </w:p>
    <w:p>
      <w:r>
        <w:rPr>
          <w:rFonts w:ascii="Open Sans" w:cs="Open Sans" w:eastAsia="Open Sans" w:hAnsi="Open Sans"/>
          <w:color w:val="59595B"/>
          <w:sz w:val="22"/>
          <w:szCs w:val="22"/>
        </w:rPr>
        <w:t xml:space="preserve">(d) Technijian shall return all Client Data in its possession within thirty (30) days of termination, in a commercially standard format, provided Client is not in breach of this Agreement.</w:t>
      </w:r>
    </w:p>
    <w:p>
      <w:r>
        <w:rPr>
          <w:rFonts w:ascii="Open Sans" w:cs="Open Sans" w:eastAsia="Open Sans" w:hAnsi="Open Sans"/>
          <w:color w:val="59595B"/>
          <w:sz w:val="22"/>
          <w:szCs w:val="22"/>
        </w:rPr>
        <w:t xml:space="preserve">(e) The following sections shall survive termination: Section 2.05(c) (Operational Continuity Materials), Section 3 (Payment), Section 4 (Confidentiality), Section 5 (Limitation of Liability), Section 6 (Indemnification), Section 7 (Intellectual Property), Section 8 (Dispute Resolution), Section 9.09 (Recruiting Cost Reimbursement), and Section 10 (Data Protection).</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SECTION 3 — PAYMENT</w:t>
      </w:r>
    </w:p>
    <w:p>
      <w:r>
        <w:rPr>
          <w:rFonts w:ascii="Open Sans" w:cs="Open Sans" w:eastAsia="Open Sans" w:hAnsi="Open Sans"/>
          <w:color w:val="59595B"/>
          <w:sz w:val="22"/>
          <w:szCs w:val="22"/>
        </w:rPr>
        <w:t xml:space="preserve">3.01. Fees. Client shall pay fees for the services as set forth in the applicable Schedule, SOW, or invoice. Fees are exclusive of applicable taxes.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3.02. Invoice Types. Client may receive the following types of invoices from Technijian during the term of this Agreement. Each invoice will clearly identify its type, the applicable Schedule or SOW, and the billing period or delivery event.</w:t>
      </w:r>
    </w:p>
    <w:p>
      <w:r>
        <w:rPr>
          <w:rFonts w:ascii="Open Sans" w:cs="Open Sans" w:eastAsia="Open Sans" w:hAnsi="Open Sans"/>
          <w:color w:val="59595B"/>
          <w:sz w:val="22"/>
          <w:szCs w:val="22"/>
        </w:rPr>
        <w:t xml:space="preserve">(a) Monthly Service Invoice. Issued on the first business day of each month for recurring managed services under Schedule A. Billed in advance for the upcoming month.</w:t>
      </w:r>
    </w:p>
    <w:p>
      <w:r>
        <w:rPr>
          <w:rFonts w:ascii="Open Sans" w:cs="Open Sans" w:eastAsia="Open Sans" w:hAnsi="Open Sans"/>
          <w:color w:val="59595B"/>
          <w:sz w:val="22"/>
          <w:szCs w:val="22"/>
        </w:rPr>
        <w:t xml:space="preserve">(b) Weekly In-Contract Invoice. Issued every Friday for Virtual Staff (contracted support) services performed under Schedule A during the preceding week (Monday through Friday). Each invoice includes: (i) a listing of each support ticket addressed; (ii) the assigned resource, role, and hours spent per ticket; (iii) a description of the work performed per ticket; (iv) whether work was performed during normal or after-hours; and (v) the current running balance for each contracted role.</w:t>
      </w:r>
    </w:p>
    <w:p>
      <w:r>
        <w:rPr>
          <w:rFonts w:ascii="Open Sans" w:cs="Open Sans" w:eastAsia="Open Sans" w:hAnsi="Open Sans"/>
          <w:color w:val="59595B"/>
          <w:sz w:val="22"/>
          <w:szCs w:val="22"/>
        </w:rPr>
        <w:t xml:space="preserve">(c) Weekly Out-of-Contract Invoice. Issued every Friday for labor services performed outside the scope of any active Schedule or SOW — including ad-hoc support requests, emergency work, and services performed under a SOW with hourly billing. Each invoice includes: (i) a listing of each support ticket or task performed; (ii) the assigned resource, role, and applicable hourly rate from the Rate Card (Schedule C); (iii) time entries with hours billed per activity (in 15-minute increments); (iv) whether work was performed during normal or after-hours; and (v) the total hours and total amount for the week.</w:t>
      </w:r>
    </w:p>
    <w:p>
      <w:r>
        <w:rPr>
          <w:rFonts w:ascii="Open Sans" w:cs="Open Sans" w:eastAsia="Open Sans" w:hAnsi="Open Sans"/>
          <w:color w:val="59595B"/>
          <w:sz w:val="22"/>
          <w:szCs w:val="22"/>
        </w:rPr>
        <w:t xml:space="preserve">(d) Equipment and Materials Invoice. Issued upon delivery or procurement of hardware, software licenses (perpetual), or other tangible goods on Client’s behalf. Each invoice includes: (i) item description, manufacturer, and model/part number; (ii) quantity and unit price; (iii) applicable sales tax; (iv) shipping and handling charges, if any; and (v) total amount due. Title to equipment shall not pass to Client until payment is received in full.</w:t>
      </w:r>
    </w:p>
    <w:p>
      <w:r>
        <w:rPr>
          <w:rFonts w:ascii="Open Sans" w:cs="Open Sans" w:eastAsia="Open Sans" w:hAnsi="Open Sans"/>
          <w:color w:val="59595B"/>
          <w:sz w:val="22"/>
          <w:szCs w:val="22"/>
        </w:rPr>
        <w:t xml:space="preserve">(e) Project Milestone Invoice. Issued upon completion of a project milestone as defined in an applicable SOW. The milestone, deliverables, and invoiced amount are as specified in the payment schedule of the SOW. Milestone invoices are billed in arrears upon acceptance of the deliverables or deemed acceptance under the SOW’s acceptance provisions.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3.03. Payment Terms. All invoices are due and payable within thirty (30) days of the invoice date, unless otherwise specified in the applicable Schedule or SOW.</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3.04. Late Payment. Invoices not paid within terms shall accrue a late fee of 1.5% per month (or the maximum rate permitted by law, whichever is less) on the unpaid balance, calculated as simple interest from the date payment was due until the date payment is received in full. Late fees are payable in addition to the outstanding principal amount. The Parties acknowledge that the late fee represents a reasonable estimate of Technijian’s administrative costs and damages resulting from late payment, including cash-flow disruption, collection overhead, and the cost of carrying accounts receivable, and is not intended as a penalty.</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3.05. Disputed Invoices.</w:t>
      </w:r>
    </w:p>
    <w:p>
      <w:r>
        <w:rPr>
          <w:rFonts w:ascii="Open Sans" w:cs="Open Sans" w:eastAsia="Open Sans" w:hAnsi="Open Sans"/>
          <w:color w:val="59595B"/>
          <w:sz w:val="22"/>
          <w:szCs w:val="22"/>
        </w:rPr>
        <w:t xml:space="preserve">(a) Weekly Invoices (In-Contract and Out-of-Contract). Because weekly invoices include detailed ticket descriptions and time entries, Client shall have thirty (30) days from the invoice date to review and dispute any portion of a weekly invoice. Client shall notify Technijian in writing, specifying the ticket number(s) and nature of the dispute. Undisputed tickets and time entries on the same invoice shall remain payable by the due date. Failure to provide a timely written dispute notice within the thirty (30) day period shall constitute acceptance of all tickets and time entries on the invoice.</w:t>
      </w:r>
    </w:p>
    <w:p>
      <w:r>
        <w:rPr>
          <w:rFonts w:ascii="Open Sans" w:cs="Open Sans" w:eastAsia="Open Sans" w:hAnsi="Open Sans"/>
          <w:color w:val="59595B"/>
          <w:sz w:val="22"/>
          <w:szCs w:val="22"/>
        </w:rPr>
        <w:t xml:space="preserve">(b) All Other Invoices. For monthly service invoices, equipment invoices, and project milestone invoices, Client shall notify Technijian in writing within fifteen (15) days of the invoice date if Client disputes any portion, specifying the nature and basis of the dispute. Client shall pay all undisputed amounts by the due date. Failure to provide a timely written dispute notice shall constitute acceptance of the invoice.</w:t>
      </w:r>
    </w:p>
    <w:p>
      <w:r>
        <w:rPr>
          <w:rFonts w:ascii="Open Sans" w:cs="Open Sans" w:eastAsia="Open Sans" w:hAnsi="Open Sans"/>
          <w:color w:val="59595B"/>
          <w:sz w:val="22"/>
          <w:szCs w:val="22"/>
        </w:rPr>
        <w:t xml:space="preserve">(c) Resolution. The Parties shall work in good faith to resolve any invoice dispute within thirty (30) days of the dispute notice. If the dispute results in an adjustment, Technijian shall issue a credit memo or revised invoice within ten (10) business days of resolution.</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3.06. Suspension of Services. If Client fails to pay any undisputed invoice within thirty (30) days of the due date, Technijian may, upon ten (10) days written notice, suspend services under the Schedule or SOW associated with the unpaid invoice until payment is received in full, including all accrued late fees. If Client fails to pay any undisputed invoice within sixty (60) days of the due date, Technijian may suspend all services under this Agreement and any related Schedules or SOWs. Recurring fees for suspended services shall continue to accrue for a period not to exceed thirty (30) days following the date of suspension, after which Technijian may terminate the affected Schedule, SOW, or this Agreement upon written notice. Suspension of services shall not relieve Client of its payment obligations.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3.07. Taxes. Client shall be responsible for all applicable sales, use, and other taxes arising from the services, excluding taxes based on Technijian’s income.</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SECTION 4 — CONFIDENTIALITY</w:t>
      </w:r>
    </w:p>
    <w:p>
      <w:r>
        <w:rPr>
          <w:rFonts w:ascii="Open Sans" w:cs="Open Sans" w:eastAsia="Open Sans" w:hAnsi="Open Sans"/>
          <w:color w:val="59595B"/>
          <w:sz w:val="22"/>
          <w:szCs w:val="22"/>
        </w:rPr>
        <w:t xml:space="preserve">4.01. Definition. “Confidential Information” means any non-public information disclosed by either Party to the other in connection with this Agreement, including business, technical, and financial information.</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4.02. Obligations. Each Party shall:</w:t>
      </w:r>
    </w:p>
    <w:p>
      <w:r>
        <w:rPr>
          <w:rFonts w:ascii="Open Sans" w:cs="Open Sans" w:eastAsia="Open Sans" w:hAnsi="Open Sans"/>
          <w:color w:val="59595B"/>
          <w:sz w:val="22"/>
          <w:szCs w:val="22"/>
        </w:rPr>
        <w:t xml:space="preserve">(a) Hold the other Party’s Confidential Information in confidence using at least the same degree of care it uses for its own confidential information, but not less than reasonable care;</w:t>
      </w:r>
    </w:p>
    <w:p>
      <w:r>
        <w:rPr>
          <w:rFonts w:ascii="Open Sans" w:cs="Open Sans" w:eastAsia="Open Sans" w:hAnsi="Open Sans"/>
          <w:color w:val="59595B"/>
          <w:sz w:val="22"/>
          <w:szCs w:val="22"/>
        </w:rPr>
        <w:t xml:space="preserve">(b) Not disclose Confidential Information to third parties without prior written consent, except to employees, agents, and subcontractors who have a need to know and are bound by equivalent obligations; and</w:t>
      </w:r>
    </w:p>
    <w:p>
      <w:r>
        <w:rPr>
          <w:rFonts w:ascii="Open Sans" w:cs="Open Sans" w:eastAsia="Open Sans" w:hAnsi="Open Sans"/>
          <w:color w:val="59595B"/>
          <w:sz w:val="22"/>
          <w:szCs w:val="22"/>
        </w:rPr>
        <w:t xml:space="preserve">(c) Not use Confidential Information for any purpose other than performing obligations under this Agreement.</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4.03. Exclusions. Confidential Information does not include information that is or becomes publicly available through no fault of the receiving Party, was known to the receiving Party prior to disclosure, is independently developed, or is received from a third party without restriction.</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4.04. Compelled Disclosure. If required by law or court order to disclose Confidential Information, the receiving Party shall provide prompt written notice to the disclosing Party and cooperate in seeking a protective order.</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4.05. Duration. Confidentiality obligations shall survive termination for a period of three (3) years.</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SECTION 5 — LIMITATION OF LIABILITY</w:t>
      </w:r>
    </w:p>
    <w:p>
      <w:r>
        <w:rPr>
          <w:rFonts w:ascii="Open Sans" w:cs="Open Sans" w:eastAsia="Open Sans" w:hAnsi="Open Sans"/>
          <w:b/>
          <w:bCs/>
          <w:color w:val="59595B"/>
          <w:sz w:val="22"/>
          <w:szCs w:val="22"/>
        </w:rPr>
        <w:t xml:space="preserve">5.01. EXCEPT AS PROVIDED IN SECTION 5.03 BELOW, NEITHER PARTY’S TOTAL AGGREGATE LIABILITY UNDER THIS AGREEMENT SHALL EXCEED THE TOTAL FEES PAID OR PAYABLE BY CLIENT UNDER THIS AGREEMENT DURING THE TWELVE (12) MONTH PERIOD IMMEDIATELY PRECEDING THE EVENT GIVING RISE TO THE CLAIM (THE “STANDARD CAP”).</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59595B"/>
          <w:sz w:val="22"/>
          <w:szCs w:val="22"/>
        </w:rPr>
        <w:t xml:space="preserve">5.02. EXCEPT AS PROVIDED IN SECTION 5.03 BELOW, IN NO EVENT SHALL EITHER PARTY BE LIABLE FOR ANY INDIRECT, INCIDENTAL, SPECIAL, CONSEQUENTIAL, OR PUNITIVE DAMAGES, INCLUDING LOSS OF PROFITS, DATA, BUSINESS OPPORTUNITY, OR GOODWILL, REGARDLESS OF WHETHER SUCH DAMAGES WERE FORESEEABLE OR WHETHER EITHER PARTY HAS BEEN ADVISED OF THE POSSIBILITY OF SUCH DAMAGES.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59595B"/>
          <w:sz w:val="22"/>
          <w:szCs w:val="22"/>
        </w:rPr>
        <w:t xml:space="preserve">5.03. ENHANCED CAP FOR CERTAIN CLAIMS. FOR CLAIMS ARISING FROM BREACHES OF SECTION 4 (CONFIDENTIALITY), SECTION 10 (DATA PROTECTION), INDEMNIFICATION OBLIGATIONS UNDER SECTION 6, WILLFUL MISCONDUCT, OR GROSS NEGLIGENCE, THE TOTAL AGGREGATE LIABILITY OF THE RESPONSIBLE PARTY SHALL NOT EXCEED THREE (3) TIMES THE STANDARD CAP DEFINED IN SECTION 5.01 (THE “ENHANCED CAP”). THE ENHANCED CAP SHALL NOT APPLY TO LIABILITY ARISING FROM A PARTY’S WILLFUL AND INTENTIONAL MISAPPROPRIATION OF THE OTHER PARTY’S CONFIDENTIAL INFORMATION OR CLIENT DATA, FOR WHICH LIABILITY SHALL BE UNCAPPED.</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5.04. Data Liability. While Technijian shall use commercially reasonable efforts to protect Client Data, Client acknowledges that Client is solely responsible for maintaining backup copies of its data.</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SECTION 6 — INDEMNIFICATION</w:t>
      </w:r>
    </w:p>
    <w:p>
      <w:r>
        <w:rPr>
          <w:rFonts w:ascii="Open Sans" w:cs="Open Sans" w:eastAsia="Open Sans" w:hAnsi="Open Sans"/>
          <w:color w:val="59595B"/>
          <w:sz w:val="22"/>
          <w:szCs w:val="22"/>
        </w:rPr>
        <w:t xml:space="preserve">6.01. By Technijian. Technijian shall indemnify, defend, and hold harmless Client from and against any third-party claims arising from Technijian’s gross negligence or willful misconduct in performing the services.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6.02. By Client. Client shall indemnify, defend, and hold harmless Technijian from and against any third-party claims arising from Client’s use of the services in violation of applicable law, Client’s breach of this Agreement, or any data, content, or materials provided by Client.</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6.03. Procedure. The indemnified Party shall provide prompt written notice of any claim, cooperate with the indemnifying Party in the defense, and not settle any claim without the indemnifying Party’s prior written consent.</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SECTION 7 — INTELLECTUAL PROPERTY</w:t>
      </w:r>
    </w:p>
    <w:p>
      <w:r>
        <w:rPr>
          <w:rFonts w:ascii="Open Sans" w:cs="Open Sans" w:eastAsia="Open Sans" w:hAnsi="Open Sans"/>
          <w:color w:val="59595B"/>
          <w:sz w:val="22"/>
          <w:szCs w:val="22"/>
        </w:rPr>
        <w:t xml:space="preserve">7.01. Technijian IP. Technijian retains all right, title, and interest in its proprietary tools, methodologies, software, and processes.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7.02. Client IP. Client retains all right, title, and interest in its data, content, and pre-existing intellectual property.</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7.03. Custom Development. Ownership of any custom software or materials developed under a SOW shall be governed by the terms of that SOW.</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SECTION 8 — DISPUTE RESOLUTION</w:t>
      </w:r>
    </w:p>
    <w:p>
      <w:r>
        <w:rPr>
          <w:rFonts w:ascii="Open Sans" w:cs="Open Sans" w:eastAsia="Open Sans" w:hAnsi="Open Sans"/>
          <w:color w:val="59595B"/>
          <w:sz w:val="22"/>
          <w:szCs w:val="22"/>
        </w:rPr>
        <w:t xml:space="preserve">8.01. Escalation. The Parties shall first attempt to resolve any dispute through good faith negotiations for a period of thirty (30) days.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8.02. Mediation. If not resolved, the Parties shall submit the dispute to mediation in Orange County, California, for a period not to exceed sixty (60) days.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8.03. Arbitration. If mediation fails, any remaining dispute shall be resolved by binding arbitration administered by the American Arbitration Association in Orange County, California.</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8.04. Injunctive Relief. Nothing in this Section shall prevent either Party from seeking injunctive or other equitable relief to prevent irreparable harm.</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SECTION 9 — GENERAL PROVISIONS</w:t>
      </w:r>
    </w:p>
    <w:p>
      <w:r>
        <w:rPr>
          <w:rFonts w:ascii="Open Sans" w:cs="Open Sans" w:eastAsia="Open Sans" w:hAnsi="Open Sans"/>
          <w:color w:val="59595B"/>
          <w:sz w:val="22"/>
          <w:szCs w:val="22"/>
        </w:rPr>
        <w:t xml:space="preserve">9.01. Entire Agreement. This Agreement, together with its Schedules and any SOWs, constitutes the entire agreement between the Parties. As modified by Section 12.03(d) of SOW-AFFG-004, this Section 9.01 does not supersede the Original Agreement; rather, the Original Agreement is amended by SOW-AFFG-004 Section 12 to incorporate the MSA Framework Provisions. The Virtual Staff Support hours and rates under the Original Agreement (CTO Advisory 3 hrs @ $225, US Tech Support 6 hrs @ $125, India Tech Normal 22 hrs @ $15, India Tech After-Hours 8 hrs @ $30) remain UNCHANGED and carry forward.</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9.02. Amendment. This Agreement may only be amended by a written instrument signed by both Parties.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9.03. Severability. If any provision is found invalid or unenforceable, the remaining provisions shall continue in full force.</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9.04. Waiver. No waiver of any provision shall be effective unless in writing and signed by the waiving Party.</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9.05. Assignment. Neither Party may assign this Agreement without prior written consent, except in connection with a merger, acquisition, or sale of substantially all assets.</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9.06. Force Majeure.</w:t>
      </w:r>
    </w:p>
    <w:p>
      <w:r>
        <w:rPr>
          <w:rFonts w:ascii="Open Sans" w:cs="Open Sans" w:eastAsia="Open Sans" w:hAnsi="Open Sans"/>
          <w:color w:val="59595B"/>
          <w:sz w:val="22"/>
          <w:szCs w:val="22"/>
        </w:rPr>
        <w:t xml:space="preserve">(a) Neither Party shall be liable for delays or failures in performance caused by events beyond its reasonable control, including natural disasters, acts of government, labor disputes, pandemics, cyberattacks on critical infrastructure, or failures of major third-party infrastructure services that are not attributable to the affected Party’s failure to implement reasonable redundancy (“Force Majeure Event”).</w:t>
      </w:r>
    </w:p>
    <w:p>
      <w:r>
        <w:rPr>
          <w:rFonts w:ascii="Open Sans" w:cs="Open Sans" w:eastAsia="Open Sans" w:hAnsi="Open Sans"/>
          <w:color w:val="59595B"/>
          <w:sz w:val="22"/>
          <w:szCs w:val="22"/>
        </w:rPr>
        <w:t xml:space="preserve">(b) The affected Party shall notify the other Party in writing within five (5) business days of becoming aware of a Force Majeure Event and shall use commercially reasonable efforts to mitigate the impact and resume performance.</w:t>
      </w:r>
    </w:p>
    <w:p>
      <w:r>
        <w:rPr>
          <w:rFonts w:ascii="Open Sans" w:cs="Open Sans" w:eastAsia="Open Sans" w:hAnsi="Open Sans"/>
          <w:color w:val="59595B"/>
          <w:sz w:val="22"/>
          <w:szCs w:val="22"/>
        </w:rPr>
        <w:t xml:space="preserve">(c) Payment obligations are not excused by a Force Majeure Event.</w:t>
      </w:r>
    </w:p>
    <w:p>
      <w:r>
        <w:rPr>
          <w:rFonts w:ascii="Open Sans" w:cs="Open Sans" w:eastAsia="Open Sans" w:hAnsi="Open Sans"/>
          <w:color w:val="59595B"/>
          <w:sz w:val="22"/>
          <w:szCs w:val="22"/>
        </w:rPr>
        <w:t xml:space="preserve">(d) If a Force Majeure Event prevents performance of a material portion of the services for more than ninety (90) consecutive days, either Party may terminate the affected Schedule, SOW, or this Agreement upon fifteen (15) days written notice without liability for early termination fees, and Client shall pay only for services actually rendered through the date of termination.</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9.07. Notices. All notices shall be in writing and delivered by email with confirmation, certified mail, or nationally recognized overnight courier.</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9.08. Governing Law. This Agreement shall be governed by the laws of the State of California.</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9.09. Recruiting Cost Reimbursement.</w:t>
      </w:r>
    </w:p>
    <w:p>
      <w:r>
        <w:rPr>
          <w:rFonts w:ascii="Open Sans" w:cs="Open Sans" w:eastAsia="Open Sans" w:hAnsi="Open Sans"/>
          <w:color w:val="59595B"/>
          <w:sz w:val="22"/>
          <w:szCs w:val="22"/>
        </w:rPr>
        <w:t xml:space="preserve">(a) Reimbursement Obligation. The Parties acknowledge that each invests significant resources in recruiting, training, onboarding, and certifying skilled personnel. If either Party (the “Hiring Party”) directly and specifically solicits, and subsequently hires (whether as an employee or independent contractor), any individual who was an employee or contractor of the other Party (the “Affected Party”) and who was directly involved in performing or receiving services under this Agreement — and such solicitation and hiring occurs during the term of this Agreement or within twelve (12) months following termination — the Hiring Party shall reimburse the Affected Party for documented, out-of-pocket recruiting, training, onboarding, and certification costs actually incurred with respect to that individual, capped at twenty-five thousand dollars ($25,000) per individual. This reimbursement is a liquidated estimate of the Affected Party’s quantifiable recruitment and training investment and is not intended as a restraint on trade or employment.</w:t>
      </w:r>
    </w:p>
    <w:p>
      <w:r>
        <w:rPr>
          <w:rFonts w:ascii="Open Sans" w:cs="Open Sans" w:eastAsia="Open Sans" w:hAnsi="Open Sans"/>
          <w:color w:val="59595B"/>
          <w:sz w:val="22"/>
          <w:szCs w:val="22"/>
        </w:rPr>
        <w:t xml:space="preserve">(b) §16600 Acknowledgment. This Section 9.09 is expressly subject to California Business and Professions Code §16600 and §16600.1 (as amended by SB 699, effective January 1, 2024) and does not restrict, prohibit, or penalize any individual’s right to seek, accept, or retain employment with any person or entity. No individual is a third-party beneficiary of this Section and no individual owes any duty or obligation hereunder.</w:t>
      </w:r>
    </w:p>
    <w:p>
      <w:r>
        <w:rPr>
          <w:rFonts w:ascii="Open Sans" w:cs="Open Sans" w:eastAsia="Open Sans" w:hAnsi="Open Sans"/>
          <w:color w:val="59595B"/>
          <w:sz w:val="22"/>
          <w:szCs w:val="22"/>
        </w:rPr>
        <w:t xml:space="preserve">(c) Carve-outs. This Section 9.09 shall not apply to individuals who: (i) respond to a general public job posting or advertisement not specifically targeted at the Affected Party’s employees or contractors; (ii) are referred by a third-party recruiting firm without the Hiring Party’s direction to target the Affected Party’s personnel; or (iii) initiate contact with the Hiring Party on their own initiative, without any prior targeted solicitation by the Hiring Party directed at them specifically as personnel of the Affected Party.</w:t>
      </w:r>
    </w:p>
    <w:p>
      <w:r>
        <w:rPr>
          <w:rFonts w:ascii="Open Sans" w:cs="Open Sans" w:eastAsia="Open Sans" w:hAnsi="Open Sans"/>
          <w:color w:val="59595B"/>
          <w:sz w:val="22"/>
          <w:szCs w:val="22"/>
        </w:rPr>
        <w:t xml:space="preserve">(d) Severability. If any portion of this Section 9.09 is held invalid or unenforceable — including by reason of Cal. Bus. &amp; Prof. Code §16600 — the remaining portions shall continue in full force and effect to the maximum extent permitted by law.</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9.10. Counterparts. This Agreement may be executed in counterparts, each of which shall be deemed an original.</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SECTION 10 — DATA PROTECTION</w:t>
      </w:r>
    </w:p>
    <w:p>
      <w:r>
        <w:rPr>
          <w:rFonts w:ascii="Open Sans" w:cs="Open Sans" w:eastAsia="Open Sans" w:hAnsi="Open Sans"/>
          <w:color w:val="59595B"/>
          <w:sz w:val="22"/>
          <w:szCs w:val="22"/>
        </w:rPr>
        <w:t xml:space="preserve">10.01. CCPA/CPRA Compliance. To the extent Technijian processes, stores, or has access to personal information (as defined under the California Consumer Privacy Act, as amended by the California Privacy Rights Act, Cal. Civ. Code § 1798.100 et seq., collectively “CCPA”) on behalf of Client, Technijian acts as a “service provider” as defined under Cal. Civ. Code § 1798.140(ag) and shall:</w:t>
      </w:r>
    </w:p>
    <w:p>
      <w:r>
        <w:rPr>
          <w:rFonts w:ascii="Open Sans" w:cs="Open Sans" w:eastAsia="Open Sans" w:hAnsi="Open Sans"/>
          <w:color w:val="59595B"/>
          <w:sz w:val="22"/>
          <w:szCs w:val="22"/>
        </w:rPr>
        <w:t xml:space="preserve">(a) Process such personal information only as necessary to perform the services and in accordance with Client’s documented instructions and this Agreement;</w:t>
      </w:r>
    </w:p>
    <w:p>
      <w:r>
        <w:rPr>
          <w:rFonts w:ascii="Open Sans" w:cs="Open Sans" w:eastAsia="Open Sans" w:hAnsi="Open Sans"/>
          <w:color w:val="59595B"/>
          <w:sz w:val="22"/>
          <w:szCs w:val="22"/>
        </w:rPr>
        <w:t xml:space="preserve">(b) Not sell, share, retain, use, or disclose personal information for any purpose other than performing the services, including not using personal information for targeted advertising or cross-context behavioral advertising;</w:t>
      </w:r>
    </w:p>
    <w:p>
      <w:r>
        <w:rPr>
          <w:rFonts w:ascii="Open Sans" w:cs="Open Sans" w:eastAsia="Open Sans" w:hAnsi="Open Sans"/>
          <w:color w:val="59595B"/>
          <w:sz w:val="22"/>
          <w:szCs w:val="22"/>
        </w:rPr>
        <w:t xml:space="preserve">(c) Not combine personal information received from Client with personal information received from other sources or collected from Technijian’s own interactions with individuals, except as expressly permitted by the CCPA to perform the services;</w:t>
      </w:r>
    </w:p>
    <w:p>
      <w:r>
        <w:rPr>
          <w:rFonts w:ascii="Open Sans" w:cs="Open Sans" w:eastAsia="Open Sans" w:hAnsi="Open Sans"/>
          <w:color w:val="59595B"/>
          <w:sz w:val="22"/>
          <w:szCs w:val="22"/>
        </w:rPr>
        <w:t xml:space="preserve">(d) Implement reasonable security measures appropriate to the nature of the personal information, consistent with the requirements of Section 10.03;</w:t>
      </w:r>
    </w:p>
    <w:p>
      <w:r>
        <w:rPr>
          <w:rFonts w:ascii="Open Sans" w:cs="Open Sans" w:eastAsia="Open Sans" w:hAnsi="Open Sans"/>
          <w:color w:val="59595B"/>
          <w:sz w:val="22"/>
          <w:szCs w:val="22"/>
        </w:rPr>
        <w:t xml:space="preserve">(e) Cooperate with Client in responding to verifiable consumer rights requests under the CCPA (including access, deletion, correction, and opt-out requests) within ten (10) business days of Client’s request;</w:t>
      </w:r>
    </w:p>
    <w:p>
      <w:r>
        <w:rPr>
          <w:rFonts w:ascii="Open Sans" w:cs="Open Sans" w:eastAsia="Open Sans" w:hAnsi="Open Sans"/>
          <w:color w:val="59595B"/>
          <w:sz w:val="22"/>
          <w:szCs w:val="22"/>
        </w:rPr>
        <w:t xml:space="preserve">(f) Notify Client within five (5) business days if Technijian determines that it can no longer meet its obligations as a service provider under the CCPA;</w:t>
      </w:r>
    </w:p>
    <w:p>
      <w:r>
        <w:rPr>
          <w:rFonts w:ascii="Open Sans" w:cs="Open Sans" w:eastAsia="Open Sans" w:hAnsi="Open Sans"/>
          <w:color w:val="59595B"/>
          <w:sz w:val="22"/>
          <w:szCs w:val="22"/>
        </w:rPr>
        <w:t xml:space="preserve">(g) Ensure that all subcontractors who process personal information on behalf of Client are bound by written agreements containing data protection obligations at least as protective as those in this Section 10, and Technijian shall remain liable for the acts and omissions of its subcontractors with respect to personal information;</w:t>
      </w:r>
    </w:p>
    <w:p>
      <w:r>
        <w:rPr>
          <w:rFonts w:ascii="Open Sans" w:cs="Open Sans" w:eastAsia="Open Sans" w:hAnsi="Open Sans"/>
          <w:color w:val="59595B"/>
          <w:sz w:val="22"/>
          <w:szCs w:val="22"/>
        </w:rPr>
        <w:t xml:space="preserve">(h) Permit Client, upon thirty (30) days written notice and no more than once per twelve (12) month period, to audit or inspect Technijian’s data processing practices to verify compliance with this Section 10, or, at Technijian’s option, provide Client with a summary of a recent independent third-party audit (such as SOC 2 Type II) covering the relevant controls; and</w:t>
      </w:r>
    </w:p>
    <w:p>
      <w:r>
        <w:rPr>
          <w:rFonts w:ascii="Open Sans" w:cs="Open Sans" w:eastAsia="Open Sans" w:hAnsi="Open Sans"/>
          <w:color w:val="59595B"/>
          <w:sz w:val="22"/>
          <w:szCs w:val="22"/>
        </w:rPr>
        <w:t xml:space="preserve">(i) Certify that Technijian understands the restrictions in this Section 10 and will comply with them.</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10.02. Security Incident Notification. If Technijian becomes aware of a breach of security leading to the accidental or unlawful destruction, loss, alteration, unauthorized disclosure of, or access to Client Data (“Security Incident”), Technijian shall: (a) notify Client in writing without unreasonable delay and in no event later than forty-eight (48) hours after becoming aware of the Security Incident; (b) provide Client with sufficient information to enable Client to comply with its obligations under California Civil Code § 1798.82 (data breach notification), applicable SEC Regulation S-P customer notification requirements, and FINRA Rule 4530 reporting obligations, including the categories and approximate number of records affected, the nature of the incident, and the measures taken or proposed to address it; (c) cooperate with Client’s investigation of the Security Incident; and (d) take reasonable steps to contain and remediate the Security Incident.</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10.03. Data Security. Technijian shall implement and maintain administrative, technical, and physical safeguards designed to protect Client Data from unauthorized access, use, or disclosure, consistent with industry standards for managed IT service providers. Such safeguards shall include, at a minimum: (a) encryption of Client Data in transit and at rest; (b) access controls limiting access to authorized personnel; (c) regular security assessments and vulnerability testing; and (d) employee security awareness training.</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10.04. Regulatory Compliance. Client is a dually registered Investment Adviser and Broker-Dealer subject to SEC Regulation S-P (including the 2024 Amendments), FINRA Rule 4370, FINRA Rule 3110, and SEC Rule 17a-4. The Parties shall cooperate in good faith to implement the controls described in the applicable Schedules and SOWs to support Client’s compliance with these requirements. If additional industry-specific data protection requirements apply, the Parties shall execute a separate addendum addressing the additional obligations applicable to the regulated data.</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10.05. Data Return and Deletion. Upon termination of this Agreement or upon Client’s written request, Technijian shall securely delete or return all Client Data in its possession within thirty (30) days, using methods consistent with NIST SP 800-88 or equivalent standards, and shall certify such deletion in writing upon request.</w:t>
      </w:r>
    </w:p>
    <w:p>
      <w:pPr>
        <w:spacing w:after="120"/>
      </w:pPr>
      <w:r>
        <w:rPr>
          <w:rFonts w:ascii="Open Sans" w:cs="Open Sans" w:eastAsia="Open Sans" w:hAnsi="Open Sans"/>
          <w:color w:val="59595B"/>
          <w:sz w:val="22"/>
          <w:szCs w:val="22"/>
        </w:rPr>
        <w:t xml:space="preserve"/>
      </w:r>
    </w:p>
    <w:p>
      <w:pPr>
        <w:pBdr>
          <w:bottom w:val="single" w:color="006DB6" w:sz="3"/>
        </w:pBdr>
        <w:spacing w:after="200" w:before="200"/>
      </w:pPr>
    </w:p>
    <w:p>
      <w:pPr>
        <w:jc w:val="center"/>
      </w:pPr>
      <w:r>
        <w:rPr>
          <w:rFonts w:ascii="Open Sans" w:cs="Open Sans" w:eastAsia="Open Sans" w:hAnsi="Open Sans"/>
          <w:b/>
          <w:bCs/>
          <w:color w:val="1A1A2E"/>
          <w:sz w:val="22"/>
          <w:szCs w:val="22"/>
        </w:rPr>
        <w:t xml:space="preserve">END OF EXHIBIT A</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Open Sans" w:cs="Open Sans" w:eastAsia="Open Sans" w:hAnsi="Open Sans"/>
      <w:b/>
      <w:bCs/>
      <w:color w:val="006DB6"/>
      <w:sz w:val="36"/>
      <w:szCs w:val="36"/>
    </w:rPr>
  </w:style>
  <w:style w:type="paragraph" w:styleId="Heading2">
    <w:name w:val="Heading 2"/>
    <w:basedOn w:val="Normal"/>
    <w:next w:val="Normal"/>
    <w:qFormat/>
    <w:pPr>
      <w:spacing w:after="160" w:before="280"/>
      <w:outlineLvl w:val="1"/>
    </w:pPr>
    <w:rPr>
      <w:rFonts w:ascii="Open Sans" w:cs="Open Sans" w:eastAsia="Open Sans" w:hAnsi="Open Sans"/>
      <w:b/>
      <w:bCs/>
      <w:color w:val="1A1A2E"/>
      <w:sz w:val="28"/>
      <w:szCs w:val="28"/>
    </w:rPr>
  </w:style>
  <w:style w:type="paragraph" w:styleId="Heading3">
    <w:name w:val="Heading 3"/>
    <w:basedOn w:val="Normal"/>
    <w:next w:val="Normal"/>
    <w:qFormat/>
    <w:pPr>
      <w:spacing w:after="120" w:before="20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37ab963d63198c507d4d2f60f27ab9adb7b80fb.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2026-04-24T21:34:22.630Z</dcterms:created>
  <dcterms:modified xsi:type="dcterms:W3CDTF">2026-04-24T21:34:22.632Z</dcterms:modified>
</cp:coreProperties>
</file>

<file path=docProps/custom.xml><?xml version="1.0" encoding="utf-8"?>
<Properties xmlns="http://schemas.openxmlformats.org/officeDocument/2006/custom-properties" xmlns:vt="http://schemas.openxmlformats.org/officeDocument/2006/docPropsVTypes"/>
</file>