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 LAW RESEARCH MEMORANDUM — BST TERMINATION RECONCILIATION</w:t>
      </w:r>
    </w:p>
    <w:p>
      <w:r>
        <w:rPr>
          <w:b/>
        </w:rPr>
        <w:t>Matter:</w:t>
      </w:r>
      <w:r>
        <w:t xml:space="preserve"> </w:t>
      </w:r>
      <w:r>
        <w:rPr>
          <w:i/>
        </w:rPr>
        <w:t>Technijian, Inc. — The Boston Group, Inc.</w:t>
      </w:r>
    </w:p>
    <w:p>
      <w:r>
        <w:rPr>
          <w:b/>
        </w:rPr>
        <w:t>Prepared for:</w:t>
      </w:r>
      <w:r>
        <w:t xml:space="preserve"> Edward Susolik, Esq., Callahan &amp; Blaine, PC</w:t>
      </w:r>
    </w:p>
    <w:p>
      <w:r>
        <w:rPr>
          <w:b/>
        </w:rPr>
        <w:t>Prepared by:</w:t>
      </w:r>
      <w:r>
        <w:t xml:space="preserve"> Technijian legal file preparation</w:t>
      </w:r>
    </w:p>
    <w:p>
      <w:r>
        <w:rPr>
          <w:b/>
        </w:rPr>
        <w:t>Date:</w:t>
      </w:r>
      <w:r>
        <w:t xml:space="preserve"> 2026-04-15</w:t>
      </w:r>
    </w:p>
    <w:p>
      <w:r>
        <w:rPr>
          <w:b/>
        </w:rPr>
        <w:t>Status:</w:t>
      </w:r>
      <w:r>
        <w:t xml:space="preserve"> </w:t>
      </w:r>
      <w:r>
        <w:rPr>
          <w:b/>
        </w:rPr>
        <w:t>ATTORNEY–CLIENT PRIVILEGED · ATTORNEY WORK PRODUCT · CONFIDENTIAL</w:t>
      </w:r>
    </w:p>
    <w:p>
      <w:r>
        <w:t xml:space="preserve">All citations to be Shepardized before any filing or demand letter. Overlapping analysis from the parallel </w:t>
      </w:r>
      <w:r>
        <w:rPr>
          <w:i/>
        </w:rPr>
        <w:t>Technijian v. Vintage Design</w:t>
      </w:r>
      <w:r>
        <w:t xml:space="preserve"> case law memorandum is adapted and extended here for BST-specific issues, notably (i) enforceability of the $150/hr cancellation clause under Cal. Civ. Code § 1671(b), (ii) account-stated / course-of-dealing defenses to hours disputes, and (iii) the third-party tort and statutory exposure arising from Tech Heights / Renwick Leggett.</w:t>
      </w:r>
    </w:p>
    <w:p>
      <w:pPr>
        <w:pStyle w:val="Heading1"/>
      </w:pPr>
      <w:r>
        <w:t>Table of Contents</w:t>
      </w:r>
    </w:p>
    <w:p>
      <w:pPr>
        <w:pStyle w:val="ListNumber"/>
      </w:pPr>
      <w:r>
        <w:t>Enforceability of the $150/hr Cancellation Clause (Cal. Civ. Code § 1671(b))</w:t>
      </w:r>
    </w:p>
    <w:p>
      <w:pPr>
        <w:pStyle w:val="ListNumber"/>
      </w:pPr>
      <w:r>
        <w:t>Liquidated Damages vs. Compensatory Cancellation Fee — Distinction</w:t>
      </w:r>
    </w:p>
    <w:p>
      <w:pPr>
        <w:pStyle w:val="ListNumber"/>
      </w:pPr>
      <w:r>
        <w:t>Reasonable Relation to Anticipated Harm</w:t>
      </w:r>
    </w:p>
    <w:p>
      <w:pPr>
        <w:pStyle w:val="ListNumber"/>
      </w:pPr>
      <w:r>
        <w:t>Unconscionability Defense — Procedural and Substantive</w:t>
      </w:r>
    </w:p>
    <w:p>
      <w:pPr>
        <w:pStyle w:val="ListNumber"/>
      </w:pPr>
      <w:r>
        <w:t>Interpretation Canons and the Clause's Plain Meaning</w:t>
      </w:r>
    </w:p>
    <w:p>
      <w:pPr>
        <w:pStyle w:val="ListNumber"/>
      </w:pPr>
      <w:r>
        <w:t>Account Stated Doctrine (Weekly Ticket Invoices)</w:t>
      </w:r>
    </w:p>
    <w:p>
      <w:pPr>
        <w:pStyle w:val="ListNumber"/>
      </w:pPr>
      <w:r>
        <w:t>Course of Performance / Course of Dealing (Cal. Com. Code § 1303)</w:t>
      </w:r>
    </w:p>
    <w:p>
      <w:pPr>
        <w:pStyle w:val="ListNumber"/>
      </w:pPr>
      <w:r>
        <w:t>Waiver and Estoppel — 30-Day Objection Window</w:t>
      </w:r>
    </w:p>
    <w:p>
      <w:pPr>
        <w:pStyle w:val="ListNumber"/>
      </w:pPr>
      <w:r>
        <w:t>Implied Covenant of Good Faith and Fair Dealing</w:t>
      </w:r>
    </w:p>
    <w:p>
      <w:pPr>
        <w:pStyle w:val="ListNumber"/>
      </w:pPr>
      <w:r>
        <w:t>Mitigation of Damages (Inapplicability to Past Performance)</w:t>
      </w:r>
    </w:p>
    <w:p>
      <w:pPr>
        <w:pStyle w:val="ListNumber"/>
      </w:pPr>
      <w:r>
        <w:t>Prejudgment Interest (Cal. Civ. Code § 3287, § 3289)</w:t>
      </w:r>
    </w:p>
    <w:p>
      <w:pPr>
        <w:pStyle w:val="ListNumber"/>
      </w:pPr>
      <w:r>
        <w:t>Attorney's Fees Under § 1717 and § 5.02 Indemnity</w:t>
      </w:r>
    </w:p>
    <w:p>
      <w:pPr>
        <w:pStyle w:val="ListNumber"/>
      </w:pPr>
      <w:r>
        <w:t>Electronic Signature Admissibility (Uniform Electronic Transactions Act)</w:t>
      </w:r>
    </w:p>
    <w:p>
      <w:pPr>
        <w:pStyle w:val="ListNumber"/>
      </w:pPr>
      <w:r>
        <w:t>Merger/Integration and the Parol Evidence Rule</w:t>
      </w:r>
    </w:p>
    <w:p>
      <w:pPr>
        <w:pStyle w:val="ListNumber"/>
      </w:pPr>
      <w:r>
        <w:t>Tortious Interference with Contract (Tech Heights / Leggett)</w:t>
      </w:r>
    </w:p>
    <w:p>
      <w:pPr>
        <w:pStyle w:val="ListNumber"/>
      </w:pPr>
      <w:r>
        <w:t>Intentional Interference with Prospective Economic Advantage</w:t>
      </w:r>
    </w:p>
    <w:p>
      <w:pPr>
        <w:pStyle w:val="ListNumber"/>
      </w:pPr>
      <w:r>
        <w:t>Breach of Duty of Loyalty by Former Employee</w:t>
      </w:r>
    </w:p>
    <w:p>
      <w:pPr>
        <w:pStyle w:val="ListNumber"/>
      </w:pPr>
      <w:r>
        <w:t>California Computer Fraud and Abuse Laws (Penal Code § 502 / CDAFA)</w:t>
      </w:r>
    </w:p>
    <w:p>
      <w:pPr>
        <w:pStyle w:val="ListNumber"/>
      </w:pPr>
      <w:r>
        <w:t>Federal Computer Fraud and Abuse Act (18 U.S.C. § 1030)</w:t>
      </w:r>
    </w:p>
    <w:p>
      <w:pPr>
        <w:pStyle w:val="ListNumber"/>
      </w:pPr>
      <w:r>
        <w:t>Trade Secret Misappropriation (Cal. Civ. Code §§ 3426 et seq.)</w:t>
      </w:r>
    </w:p>
    <w:p>
      <w:pPr>
        <w:pStyle w:val="ListNumber"/>
      </w:pPr>
      <w:r>
        <w:t>Unfair Competition (Bus. &amp; Prof. Code § 17200)</w:t>
      </w:r>
    </w:p>
    <w:p>
      <w:pPr>
        <w:pStyle w:val="ListNumber"/>
      </w:pPr>
      <w:r>
        <w:t>Anti-Hire / Employee Non-Solicitation Clauses in California</w:t>
      </w:r>
    </w:p>
    <w:p>
      <w:pPr>
        <w:pStyle w:val="ListNumber"/>
      </w:pPr>
      <w:r>
        <w:t>Venue, Choice of Law, and Arbitration Considerations</w:t>
      </w:r>
    </w:p>
    <w:p>
      <w:pPr>
        <w:pStyle w:val="ListNumber"/>
      </w:pPr>
      <w:r>
        <w:t>Demand Letter Best Practices Under California Law</w:t>
      </w:r>
    </w:p>
    <w:p>
      <w:pPr>
        <w:pStyle w:val="ListNumber"/>
      </w:pPr>
      <w:r>
        <w:t>Settlement Offer Expiration and Revocation</w:t>
      </w:r>
    </w:p>
    <w:p>
      <w:pPr>
        <w:spacing w:before="80" w:after="80"/>
      </w:pPr>
      <w:r>
        <w:rPr>
          <w:color w:val="808080"/>
        </w:rPr>
        <w:t>______________________________________________________________________</w:t>
      </w:r>
    </w:p>
    <w:p>
      <w:pPr>
        <w:pStyle w:val="Heading1"/>
      </w:pPr>
      <w:r>
        <w:t>1. Enforceability of the $150/hr Cancellation Clause (Cal. Civ. Code § 1671(b))</w:t>
      </w:r>
    </w:p>
    <w:p>
      <w:r>
        <w:rPr>
          <w:b/>
        </w:rPr>
        <w:t>Rule.</w:t>
      </w:r>
      <w:r>
        <w:t xml:space="preserve"> In non-consumer commercial contracts, "[a] provision in a contract liquidating the damages for the breach of the contract is valid unless the party seeking to invalidate the provision establishes that the provision was unreasonable under the circumstances existing at the time the contract was made." Cal. Civ. Code § 1671(b).</w:t>
      </w:r>
    </w:p>
    <w:p>
      <w:r>
        <w:rPr>
          <w:b/>
        </w:rPr>
        <w:t>The § 1671(b) framework.</w:t>
      </w:r>
      <w:r>
        <w:t xml:space="preserve"> The analysis is prospective — measured at formation — and the burden to invalidate falls on the </w:t>
      </w:r>
      <w:r>
        <w:rPr>
          <w:i/>
        </w:rPr>
        <w:t>party challenging</w:t>
      </w:r>
      <w:r>
        <w:t xml:space="preserve"> the provision. </w:t>
      </w:r>
      <w:r>
        <w:rPr>
          <w:i/>
        </w:rPr>
        <w:t>Ridgley v. Topa Thrift &amp; Loan Assn.</w:t>
      </w:r>
      <w:r>
        <w:t xml:space="preserve"> (1998) 17 Cal.4th 970, 977; </w:t>
      </w:r>
      <w:r>
        <w:rPr>
          <w:i/>
        </w:rPr>
        <w:t>Graylee v. Castro</w:t>
      </w:r>
      <w:r>
        <w:t xml:space="preserve"> (2020) 52 Cal.App.5th 1107, 1117.</w:t>
      </w:r>
    </w:p>
    <w:p>
      <w:r>
        <w:rPr>
          <w:b/>
        </w:rPr>
        <w:t>Application.</w:t>
      </w:r>
      <w:r>
        <w:t xml:space="preserve"> Technijian's $150/hr cancellation provision is:</w:t>
      </w:r>
    </w:p>
    <w:p>
      <w:pPr>
        <w:pStyle w:val="ListBullet"/>
      </w:pPr>
      <w:r>
        <w:t>tied to a per-hour metric with a direct cost relationship (excess labor actually consumed);</w:t>
      </w:r>
    </w:p>
    <w:p>
      <w:pPr>
        <w:pStyle w:val="ListBullet"/>
      </w:pPr>
      <w:r>
        <w:t>consistent with Technijian's published onshore rate ($125/hr for IRV-TS1) and exceeds it by a modest factor reflecting the removal of volume-based offshore blending that the baseline billing enables;</w:t>
      </w:r>
    </w:p>
    <w:p>
      <w:pPr>
        <w:pStyle w:val="ListBullet"/>
      </w:pPr>
      <w:r>
        <w:t>supported by the same POD rate schedule that BST reviewed and DocuSigned.</w:t>
      </w:r>
    </w:p>
    <w:p>
      <w:r>
        <w:t xml:space="preserve">BST — a commercially sophisticated party that had received the $150/hr rate on every weekly and monthly invoice for 36 months — cannot meet its § 1671(b) burden. </w:t>
      </w:r>
      <w:r>
        <w:rPr>
          <w:i/>
        </w:rPr>
        <w:t>Utility Consumers' Action Network v. AT&amp;T Broadband of So. Cal.</w:t>
      </w:r>
      <w:r>
        <w:t xml:space="preserve"> (2006) 135 Cal.App.4th 1023, 1035 ("[T]he party challenging a liquidated damages provision bears the burden...").</w:t>
      </w:r>
    </w:p>
    <w:p>
      <w:r>
        <w:rPr>
          <w:b/>
        </w:rPr>
        <w:t>Distinguishing invalidating cases.</w:t>
      </w:r>
    </w:p>
    <w:p>
      <w:pPr>
        <w:pStyle w:val="ListBullet"/>
      </w:pPr>
      <w:r>
        <w:rPr>
          <w:i/>
        </w:rPr>
        <w:t>Garrett v. Coast &amp; So. Fed. S&amp;L Ass'n</w:t>
      </w:r>
      <w:r>
        <w:t xml:space="preserve"> (1973) 9 Cal.3d 731 — invalidated a flat late-charge unrelated to actual damage.</w:t>
      </w:r>
    </w:p>
    <w:p>
      <w:pPr>
        <w:pStyle w:val="ListBullet"/>
      </w:pPr>
      <w:r>
        <w:rPr>
          <w:i/>
        </w:rPr>
        <w:t>Beasley v. Wells Fargo Bank</w:t>
      </w:r>
      <w:r>
        <w:t xml:space="preserve"> (1991) 235 Cal.App.3d 1383 — invalidated post-default flat penalties.</w:t>
      </w:r>
    </w:p>
    <w:p>
      <w:pPr>
        <w:pStyle w:val="ListBullet"/>
      </w:pPr>
      <w:r>
        <w:rPr>
          <w:i/>
        </w:rPr>
        <w:t>Greentree Financial Group v. Execute Sports</w:t>
      </w:r>
      <w:r>
        <w:t xml:space="preserve"> (2008) 163 Cal.App.4th 495 — invalidated a stipulated-judgment premium bearing no relation to actual damage.</w:t>
      </w:r>
    </w:p>
    <w:p>
      <w:r>
        <w:t>Each involved a flat penalty bearing no reasonable relation to actual harm. The BST clause is metric-driven, unit-based, and compensatory.</w:t>
      </w:r>
    </w:p>
    <w:p>
      <w:pPr>
        <w:spacing w:before="80" w:after="80"/>
      </w:pPr>
      <w:r>
        <w:rPr>
          <w:color w:val="808080"/>
        </w:rPr>
        <w:t>______________________________________________________________________</w:t>
      </w:r>
    </w:p>
    <w:p>
      <w:pPr>
        <w:pStyle w:val="Heading1"/>
      </w:pPr>
      <w:r>
        <w:t>2. Liquidated Damages vs. Compensatory Cancellation Fee</w:t>
      </w:r>
    </w:p>
    <w:p>
      <w:r>
        <w:rPr>
          <w:b/>
        </w:rPr>
        <w:t>Doctrinal distinction.</w:t>
      </w:r>
      <w:r>
        <w:t xml:space="preserve"> California law has recognized a meaningful distinction between a </w:t>
      </w:r>
      <w:r>
        <w:rPr>
          <w:i/>
        </w:rPr>
        <w:t>penalty</w:t>
      </w:r>
      <w:r>
        <w:t xml:space="preserve"> (invalid) and a </w:t>
      </w:r>
      <w:r>
        <w:rPr>
          <w:i/>
        </w:rPr>
        <w:t>compensatory cancellation fee</w:t>
      </w:r>
      <w:r>
        <w:t xml:space="preserve"> priced to recoup excess performance cost (valid). </w:t>
      </w:r>
      <w:r>
        <w:rPr>
          <w:i/>
        </w:rPr>
        <w:t>Hitz v. First Interstate Bank</w:t>
      </w:r>
      <w:r>
        <w:t xml:space="preserve"> (1995) 38 Cal.App.4th 274, 286. A provision that applies a rate to a measured quantum of incremental work is closer to an alternative-performance fee than a liquidated damages clause in the classic sense. </w:t>
      </w:r>
      <w:r>
        <w:rPr>
          <w:i/>
        </w:rPr>
        <w:t>Morris v. Redwood Empire Bancorp</w:t>
      </w:r>
      <w:r>
        <w:t xml:space="preserve"> (2005) 128 Cal.App.4th 1305.</w:t>
      </w:r>
    </w:p>
    <w:p>
      <w:r>
        <w:rPr>
          <w:b/>
        </w:rPr>
        <w:t>Characterization advantage.</w:t>
      </w:r>
      <w:r>
        <w:t xml:space="preserve"> Framing the $150/hr term as a </w:t>
      </w:r>
      <w:r>
        <w:rPr>
          <w:i/>
        </w:rPr>
        <w:t>per-unit compensatory fee</w:t>
      </w:r>
      <w:r>
        <w:t xml:space="preserve"> for documented excess hours — rather than a lump-sum termination penalty — moves it outside the § 1671(b) "unreasonableness" battleground entirely, because the amount directly tracks actual work performed.</w:t>
      </w:r>
    </w:p>
    <w:p>
      <w:pPr>
        <w:spacing w:before="80" w:after="80"/>
      </w:pPr>
      <w:r>
        <w:rPr>
          <w:color w:val="808080"/>
        </w:rPr>
        <w:t>______________________________________________________________________</w:t>
      </w:r>
    </w:p>
    <w:p>
      <w:pPr>
        <w:pStyle w:val="Heading1"/>
      </w:pPr>
      <w:r>
        <w:t>3. Reasonable Relation to Anticipated Harm</w:t>
      </w:r>
    </w:p>
    <w:p>
      <w:r>
        <w:rPr>
          <w:b/>
        </w:rPr>
        <w:t>Rule.</w:t>
      </w:r>
      <w:r>
        <w:t xml:space="preserve"> Even if § 1671(b) applies, a clause survives if the agreed amount "represents the result of a reasonable endeavor by the parties to estimate fair average compensation for any loss that may be sustained." </w:t>
      </w:r>
      <w:r>
        <w:rPr>
          <w:i/>
        </w:rPr>
        <w:t>Utility Consumers', supra,</w:t>
      </w:r>
      <w:r>
        <w:t xml:space="preserve"> 135 Cal.App.4th at 1030.</w:t>
      </w:r>
    </w:p>
    <w:p>
      <w:r>
        <w:rPr>
          <w:b/>
        </w:rPr>
        <w:t>Here.</w:t>
      </w:r>
      <w:r>
        <w:t xml:space="preserve"> At contract formation in April 2023, the parties could reasonably anticipate that BST's support consumption might fluctuate and that Technijian would incur real costs for every hour of documented ticketed support delivered beyond the priced-in monthly average. The $150/hr figure is within the spectrum of Technijian's rate card ($15 offshore normal → $200/hr systems architect) and sits at a rate below the published "Out-of-Contract" labor rates. The clause's relationship to actual labor cost is direct and defensible.</w:t>
      </w:r>
    </w:p>
    <w:p>
      <w:pPr>
        <w:spacing w:before="80" w:after="80"/>
      </w:pPr>
      <w:r>
        <w:rPr>
          <w:color w:val="808080"/>
        </w:rPr>
        <w:t>______________________________________________________________________</w:t>
      </w:r>
    </w:p>
    <w:p>
      <w:pPr>
        <w:pStyle w:val="Heading1"/>
      </w:pPr>
      <w:r>
        <w:t>4. Unconscionability Defense</w:t>
      </w:r>
    </w:p>
    <w:p>
      <w:r>
        <w:rPr>
          <w:b/>
        </w:rPr>
        <w:t>Rule.</w:t>
      </w:r>
      <w:r>
        <w:t xml:space="preserve"> A clause is unenforceable only if both </w:t>
      </w:r>
      <w:r>
        <w:rPr>
          <w:i/>
        </w:rPr>
        <w:t>procedural</w:t>
      </w:r>
      <w:r>
        <w:t xml:space="preserve"> and </w:t>
      </w:r>
      <w:r>
        <w:rPr>
          <w:i/>
        </w:rPr>
        <w:t>substantive</w:t>
      </w:r>
      <w:r>
        <w:t xml:space="preserve"> unconscionability are shown, with a sliding-scale balancing. </w:t>
      </w:r>
      <w:r>
        <w:rPr>
          <w:i/>
        </w:rPr>
        <w:t>Armendariz v. Foundation Health Psychcare Services</w:t>
      </w:r>
      <w:r>
        <w:t xml:space="preserve"> (2000) 24 Cal.4th 83, 114; </w:t>
      </w:r>
      <w:r>
        <w:rPr>
          <w:i/>
        </w:rPr>
        <w:t>Sonic-Calabasas A v. Moreno</w:t>
      </w:r>
      <w:r>
        <w:t xml:space="preserve"> (2013) 57 Cal.4th 1109.</w:t>
      </w:r>
    </w:p>
    <w:p>
      <w:r>
        <w:rPr>
          <w:b/>
        </w:rPr>
        <w:t>Procedural.</w:t>
      </w:r>
      <w:r>
        <w:t xml:space="preserve"> The Agreement was negotiated between two businesses, DocuSigned by BST's executive, and governed by a standard commercial terms rider. BST had 36 months of notice of the rate through every weekly/monthly invoice. Adhesion is not established.</w:t>
      </w:r>
    </w:p>
    <w:p>
      <w:r>
        <w:rPr>
          <w:b/>
        </w:rPr>
        <w:t>Substantive.</w:t>
      </w:r>
      <w:r>
        <w:t xml:space="preserve"> A $150/hr figure for documented labor — disclosed on every invoice — is not "overly harsh" or "one-sided" in a way that "shocks the conscience." </w:t>
      </w:r>
      <w:r>
        <w:rPr>
          <w:i/>
        </w:rPr>
        <w:t>Pinnacle Museum Tower Assn. v. Pinnacle Market Dev.</w:t>
      </w:r>
      <w:r>
        <w:t xml:space="preserve"> (2012) 55 Cal.4th 223, 247.</w:t>
      </w:r>
    </w:p>
    <w:p>
      <w:pPr>
        <w:spacing w:before="80" w:after="80"/>
      </w:pPr>
      <w:r>
        <w:rPr>
          <w:color w:val="808080"/>
        </w:rPr>
        <w:t>______________________________________________________________________</w:t>
      </w:r>
    </w:p>
    <w:p>
      <w:pPr>
        <w:pStyle w:val="Heading1"/>
      </w:pPr>
      <w:r>
        <w:t>5. Interpretation Canons and the Clause's Plain Meaning</w:t>
      </w:r>
    </w:p>
    <w:p>
      <w:r>
        <w:rPr>
          <w:b/>
        </w:rPr>
        <w:t>Rule.</w:t>
      </w:r>
      <w:r>
        <w:t xml:space="preserve"> Contracts are to be interpreted to give effect to the mutual intent of the parties. Cal. Civ. Code § 1636. The plain language controls when clear. Cal. Civ. Code § 1638. Ambiguity is resolved against the drafter </w:t>
      </w:r>
      <w:r>
        <w:rPr>
          <w:b/>
        </w:rPr>
        <w:t>only as a last resort</w:t>
      </w:r>
      <w:r>
        <w:t xml:space="preserve">. Cal. Civ. Code § 1654; </w:t>
      </w:r>
      <w:r>
        <w:rPr>
          <w:i/>
        </w:rPr>
        <w:t>Sandquist v. Lebo Automotive</w:t>
      </w:r>
      <w:r>
        <w:t xml:space="preserve"> (2016) 1 Cal.5th 233, 247.</w:t>
      </w:r>
    </w:p>
    <w:p>
      <w:r>
        <w:rPr>
          <w:b/>
        </w:rPr>
        <w:t>Application.</w:t>
      </w:r>
      <w:r>
        <w:t xml:space="preserve"> The Under Contract clause is operationally clear:</w:t>
      </w:r>
    </w:p>
    <w:p>
      <w:pPr>
        <w:pStyle w:val="ListBullet"/>
      </w:pPr>
      <w:r>
        <w:t>12-month cycle → ¶ 1</w:t>
      </w:r>
    </w:p>
    <w:p>
      <w:pPr>
        <w:pStyle w:val="ListBullet"/>
      </w:pPr>
      <w:r>
        <w:t>Average recalculated each period → ¶ 2</w:t>
      </w:r>
    </w:p>
    <w:p>
      <w:pPr>
        <w:pStyle w:val="ListBullet"/>
      </w:pPr>
      <w:r>
        <w:t>Termination triggers $150/hr fee on documented hours "exceeded the previous under contract period average" → ¶ 5</w:t>
      </w:r>
    </w:p>
    <w:p>
      <w:r>
        <w:t xml:space="preserve">BST's anticipated argument that "previous under contract period average" is ambiguous fails because every cycle's baseline is computed, invoiced, and received without objection. The meaning is operationalized by the parties' own conduct — </w:t>
      </w:r>
      <w:r>
        <w:rPr>
          <w:i/>
        </w:rPr>
        <w:t>Oceanside 84 v. Fidelity Federal</w:t>
      </w:r>
      <w:r>
        <w:t xml:space="preserve"> (1997) 56 Cal.App.4th 1441, 1448 (practical construction of contracts by the parties is the best guide to meaning).</w:t>
      </w:r>
    </w:p>
    <w:p>
      <w:pPr>
        <w:spacing w:before="80" w:after="80"/>
      </w:pPr>
      <w:r>
        <w:rPr>
          <w:color w:val="808080"/>
        </w:rPr>
        <w:t>______________________________________________________________________</w:t>
      </w:r>
    </w:p>
    <w:p>
      <w:pPr>
        <w:pStyle w:val="Heading1"/>
      </w:pPr>
      <w:r>
        <w:t>6. Account Stated Doctrine</w:t>
      </w:r>
    </w:p>
    <w:p>
      <w:r>
        <w:rPr>
          <w:b/>
        </w:rPr>
        <w:t>Rule.</w:t>
      </w:r>
      <w:r>
        <w:t xml:space="preserve"> An account stated is an agreement, based on prior transactions between the parties, that the items and amounts set forth in a rendered statement are correct; it arises when (1) an account is rendered, (2) the recipient retains the account without objection for an unreasonable time, and (3) the recipient fails to reject the stated balance. </w:t>
      </w:r>
      <w:r>
        <w:rPr>
          <w:i/>
        </w:rPr>
        <w:t>Gleason v. Klamer</w:t>
      </w:r>
      <w:r>
        <w:t xml:space="preserve"> (1980) 103 Cal.App.3d 782, 786-787; </w:t>
      </w:r>
      <w:r>
        <w:rPr>
          <w:i/>
        </w:rPr>
        <w:t>Zinn v. Fred R. Bright Co.</w:t>
      </w:r>
      <w:r>
        <w:t xml:space="preserve"> (1969) 271 Cal.App.2d 597, 600-601.</w:t>
      </w:r>
    </w:p>
    <w:p>
      <w:r>
        <w:rPr>
          <w:b/>
        </w:rPr>
        <w:t>Application to BST.</w:t>
      </w:r>
      <w:r>
        <w:t xml:space="preserve"> Technijian rendered approximately 150 weekly zero-dollar invoices over 36 months, each enumerating every ticket and time entry with a 30-day objection window, plus ~36 monthly services invoices. </w:t>
      </w:r>
      <w:r>
        <w:rPr>
          <w:b/>
        </w:rPr>
        <w:t>BST raised no timely objection across the entire term.</w:t>
      </w:r>
      <w:r>
        <w:t xml:space="preserve"> BST's subsequent assertion that the ticketed hours are inaccurate — not yet made, but anticipated through its counsel — runs squarely into the account-stated doctrine.</w:t>
      </w:r>
    </w:p>
    <w:p>
      <w:r>
        <w:rPr>
          <w:i/>
        </w:rPr>
        <w:t>Trafton v. Youngblood</w:t>
      </w:r>
      <w:r>
        <w:t xml:space="preserve"> (1968) 69 Cal.2d 17, 25, underscores: "An account stated is conclusive upon the parties in the absence of fraud, mistake, or other equitable considerations."</w:t>
      </w:r>
    </w:p>
    <w:p>
      <w:pPr>
        <w:spacing w:before="80" w:after="80"/>
      </w:pPr>
      <w:r>
        <w:rPr>
          <w:color w:val="808080"/>
        </w:rPr>
        <w:t>______________________________________________________________________</w:t>
      </w:r>
    </w:p>
    <w:p>
      <w:pPr>
        <w:pStyle w:val="Heading1"/>
      </w:pPr>
      <w:r>
        <w:t>7. Course of Performance / Course of Dealing</w:t>
      </w:r>
    </w:p>
    <w:p>
      <w:r>
        <w:rPr>
          <w:b/>
        </w:rPr>
        <w:t>Rule.</w:t>
      </w:r>
      <w:r>
        <w:t xml:space="preserve"> Under Cal. Com. Code § 1303(a), a course of performance is relevant to interpreting contract terms and may waive or modify inconsistent terms. Although technically applicable only to UCC contracts, California courts apply the same principles by analogy to service contracts. </w:t>
      </w:r>
      <w:r>
        <w:rPr>
          <w:i/>
        </w:rPr>
        <w:t>Wolf v. Walt Disney Pictures &amp; Television</w:t>
      </w:r>
      <w:r>
        <w:t xml:space="preserve"> (2008) 162 Cal.App.4th 1107, 1126.</w:t>
      </w:r>
    </w:p>
    <w:p>
      <w:r>
        <w:rPr>
          <w:b/>
        </w:rPr>
        <w:t>Application.</w:t>
      </w:r>
      <w:r>
        <w:t xml:space="preserve"> For 36 months, BST:</w:t>
      </w:r>
    </w:p>
    <w:p>
      <w:pPr>
        <w:pStyle w:val="ListBullet"/>
      </w:pPr>
      <w:r>
        <w:t>received weekly ticket-time detail;</w:t>
      </w:r>
    </w:p>
    <w:p>
      <w:pPr>
        <w:pStyle w:val="ListBullet"/>
      </w:pPr>
      <w:r>
        <w:t>paid monthly under-contract invoices reflecting baseline hours;</w:t>
      </w:r>
    </w:p>
    <w:p>
      <w:pPr>
        <w:pStyle w:val="ListBullet"/>
      </w:pPr>
      <w:r>
        <w:t>accepted the baseline-reset mechanism at each cycle boundary;</w:t>
      </w:r>
    </w:p>
    <w:p>
      <w:pPr>
        <w:pStyle w:val="ListBullet"/>
      </w:pPr>
      <w:r>
        <w:t>did not object to the $150/hr rate displayed on every invoice template.</w:t>
      </w:r>
    </w:p>
    <w:p>
      <w:r>
        <w:t xml:space="preserve">That pattern constitutes a course of performance confirming the parties' mutual understanding of the Under Contract mechanic. </w:t>
      </w:r>
      <w:r>
        <w:rPr>
          <w:i/>
        </w:rPr>
        <w:t>Employers Reinsurance Co. v. Superior Court</w:t>
      </w:r>
      <w:r>
        <w:t xml:space="preserve"> (2008) 161 Cal.App.4th 906, 922.</w:t>
      </w:r>
    </w:p>
    <w:p>
      <w:pPr>
        <w:spacing w:before="80" w:after="80"/>
      </w:pPr>
      <w:r>
        <w:rPr>
          <w:color w:val="808080"/>
        </w:rPr>
        <w:t>______________________________________________________________________</w:t>
      </w:r>
    </w:p>
    <w:p>
      <w:pPr>
        <w:pStyle w:val="Heading1"/>
      </w:pPr>
      <w:r>
        <w:t>8. Waiver and Estoppel — 30-Day Objection Window</w:t>
      </w:r>
    </w:p>
    <w:p>
      <w:r>
        <w:rPr>
          <w:b/>
        </w:rPr>
        <w:t>Rule.</w:t>
      </w:r>
      <w:r>
        <w:t xml:space="preserve"> Waiver is the "intentional relinquishment of a known right." </w:t>
      </w:r>
      <w:r>
        <w:rPr>
          <w:i/>
        </w:rPr>
        <w:t>Waller v. Truck Ins. Exch.</w:t>
      </w:r>
      <w:r>
        <w:t xml:space="preserve"> (1995) 11 Cal.4th 1, 31. Estoppel by silence arises when a party is under a duty to speak. </w:t>
      </w:r>
      <w:r>
        <w:rPr>
          <w:i/>
        </w:rPr>
        <w:t>Lusitanian-American Development Co. v. Seaboard Dairy Credit Corp.</w:t>
      </w:r>
      <w:r>
        <w:t xml:space="preserve"> (1934) 1 Cal.2d 121, 128.</w:t>
      </w:r>
    </w:p>
    <w:p>
      <w:r>
        <w:rPr>
          <w:b/>
        </w:rPr>
        <w:t>Application.</w:t>
      </w:r>
      <w:r>
        <w:t xml:space="preserve"> The Agreement's invoicing regime </w:t>
      </w:r>
      <w:r>
        <w:rPr>
          <w:i/>
        </w:rPr>
        <w:t>imposed a duty on BST to object within 30 days</w:t>
      </w:r>
      <w:r>
        <w:t xml:space="preserve"> to any reported time or invoice item. BST's repeated, prolonged silence across the life of the contract waives the ability to dispute the underlying ticketed hours now — particularly where </w:t>
      </w:r>
      <w:r>
        <w:rPr>
          <w:i/>
        </w:rPr>
        <w:t>the hours Technijian relies on for the cancellation reconciliation are the same hours previously transmitted</w:t>
      </w:r>
      <w:r>
        <w:t xml:space="preserve">. </w:t>
      </w:r>
      <w:r>
        <w:rPr>
          <w:i/>
        </w:rPr>
        <w:t>Cobb v. Pacific Mutual Life Ins. Co.</w:t>
      </w:r>
      <w:r>
        <w:t xml:space="preserve"> (1935) 4 Cal.2d 565, 568-569.</w:t>
      </w:r>
    </w:p>
    <w:p>
      <w:pPr>
        <w:spacing w:before="80" w:after="80"/>
      </w:pPr>
      <w:r>
        <w:rPr>
          <w:color w:val="808080"/>
        </w:rPr>
        <w:t>______________________________________________________________________</w:t>
      </w:r>
    </w:p>
    <w:p>
      <w:pPr>
        <w:pStyle w:val="Heading1"/>
      </w:pPr>
      <w:r>
        <w:t>9. Implied Covenant of Good Faith and Fair Dealing</w:t>
      </w:r>
    </w:p>
    <w:p>
      <w:r>
        <w:rPr>
          <w:b/>
        </w:rPr>
        <w:t>Rule.</w:t>
      </w:r>
      <w:r>
        <w:t xml:space="preserve"> Every contract imposes an implied covenant of good faith and fair dealing: neither party shall do anything that will injure the right of the other to receive the benefits of the agreement. </w:t>
      </w:r>
      <w:r>
        <w:rPr>
          <w:i/>
        </w:rPr>
        <w:t>Foley v. Interactive Data Corp.</w:t>
      </w:r>
      <w:r>
        <w:t xml:space="preserve"> (1988) 47 Cal.3d 654, 683-684.</w:t>
      </w:r>
    </w:p>
    <w:p>
      <w:r>
        <w:rPr>
          <w:b/>
        </w:rPr>
        <w:t>Application.</w:t>
      </w:r>
    </w:p>
    <w:p>
      <w:pPr>
        <w:pStyle w:val="ListBullet"/>
      </w:pPr>
      <w:r>
        <w:rPr>
          <w:i/>
        </w:rPr>
        <w:t>By Technijian</w:t>
      </w:r>
      <w:r>
        <w:t xml:space="preserve"> — the $15,045 settlement concession, the 30-day notice honoring, the continued service through April 30 support, and the multi-step communication to Jeff all demonstrate good-faith engagement.</w:t>
      </w:r>
    </w:p>
    <w:p>
      <w:pPr>
        <w:pStyle w:val="ListBullet"/>
      </w:pPr>
      <w:r>
        <w:rPr>
          <w:i/>
        </w:rPr>
        <w:t>By BST</w:t>
      </w:r>
      <w:r>
        <w:t xml:space="preserve"> — BST's knowledge and cooperation with a competitor (Tech Heights / Leggett) working in the environment before termination is complete (ESXi password change, AD server outage 4/1) raises a question whether BST breached the covenant by facilitating conduct that impaired Technijian's ability to perform. Preservation: this is not an affirmative claim to assert in the termination reconciliation, but is a strong rebuttal to any implied-covenant counter-claim BST may attempt.</w:t>
      </w:r>
    </w:p>
    <w:p>
      <w:pPr>
        <w:spacing w:before="80" w:after="80"/>
      </w:pPr>
      <w:r>
        <w:rPr>
          <w:color w:val="808080"/>
        </w:rPr>
        <w:t>______________________________________________________________________</w:t>
      </w:r>
    </w:p>
    <w:p>
      <w:pPr>
        <w:pStyle w:val="Heading1"/>
      </w:pPr>
      <w:r>
        <w:t>10. Mitigation of Damages (Inapplicability)</w:t>
      </w:r>
    </w:p>
    <w:p>
      <w:r>
        <w:rPr>
          <w:b/>
        </w:rPr>
        <w:t>Rule.</w:t>
      </w:r>
      <w:r>
        <w:t xml:space="preserve"> The duty to mitigate applies only to </w:t>
      </w:r>
      <w:r>
        <w:rPr>
          <w:i/>
        </w:rPr>
        <w:t>future</w:t>
      </w:r>
      <w:r>
        <w:t xml:space="preserve"> damages — the non-breaching party must take reasonable steps to reduce loss going forward. </w:t>
      </w:r>
      <w:r>
        <w:rPr>
          <w:i/>
        </w:rPr>
        <w:t>Shaffer v. Debbas</w:t>
      </w:r>
      <w:r>
        <w:t xml:space="preserve"> (1993) 17 Cal.App.4th 33, 41.</w:t>
      </w:r>
    </w:p>
    <w:p>
      <w:r>
        <w:rPr>
          <w:b/>
        </w:rPr>
        <w:t>Application.</w:t>
      </w:r>
      <w:r>
        <w:t xml:space="preserve"> The cancellation-fee claim concerns </w:t>
      </w:r>
      <w:r>
        <w:rPr>
          <w:i/>
        </w:rPr>
        <w:t>past</w:t>
      </w:r>
      <w:r>
        <w:t xml:space="preserve"> services already rendered and documented. There is nothing to mitigate. BST's anticipated argument that "Tech Heights is already doing the work" is irrelevant to recovery of the cancellation fee.</w:t>
      </w:r>
    </w:p>
    <w:p>
      <w:pPr>
        <w:spacing w:before="80" w:after="80"/>
      </w:pPr>
      <w:r>
        <w:rPr>
          <w:color w:val="808080"/>
        </w:rPr>
        <w:t>______________________________________________________________________</w:t>
      </w:r>
    </w:p>
    <w:p>
      <w:pPr>
        <w:pStyle w:val="Heading1"/>
      </w:pPr>
      <w:r>
        <w:t>11. Prejudgment Interest</w:t>
      </w:r>
    </w:p>
    <w:p>
      <w:r>
        <w:rPr>
          <w:b/>
        </w:rPr>
        <w:t>Rule.</w:t>
      </w:r>
      <w:r>
        <w:t xml:space="preserve"> Cal. Civ. Code § 3287(a) entitles a party to prejudgment interest on damages certain or capable of being made certain. Cal. Civ. Code § 3289(b) provides a 10% default rate when no rate is specified by contract, on contract obligations arising in California.</w:t>
      </w:r>
    </w:p>
    <w:p>
      <w:r>
        <w:rPr>
          <w:b/>
        </w:rPr>
        <w:t>Application.</w:t>
      </w:r>
      <w:r>
        <w:t xml:space="preserve"> Technijian's cancellation-fee invoice is capable of mathematical calculation and has a specific due date (April 30, 2026 per the 3/23 email). Interest runs from that date at 10% per annum if the matter proceeds to litigation. For a claim of $126,442.50, daily interest accrual is approximately $34.64. A demand or proceeding in mid-2026 to mid-2027 would add approximately $6,300 to $12,600.</w:t>
      </w:r>
    </w:p>
    <w:p>
      <w:pPr>
        <w:pStyle w:val="Heading1"/>
      </w:pPr>
      <w:r>
        <w:t>12. Attorney's Fees Under § 1717 and § 5.02 Indemnity</w:t>
      </w:r>
    </w:p>
    <w:p>
      <w:r>
        <w:rPr>
          <w:b/>
        </w:rPr>
        <w:t>Rule.</w:t>
      </w:r>
      <w:r>
        <w:t xml:space="preserve"> Cal. Civ. Code § 1717(a) makes contractual attorney-fee provisions reciprocal, regardless of which party's favor they are drafted in. Indemnity provisions that include defense costs may extend to fees in a later breach-of-contract action. </w:t>
      </w:r>
      <w:r>
        <w:rPr>
          <w:i/>
        </w:rPr>
        <w:t>Santisas v. Goodin</w:t>
      </w:r>
      <w:r>
        <w:t xml:space="preserve"> (1998) 17 Cal.4th 599, 610-617.</w:t>
      </w:r>
    </w:p>
    <w:p>
      <w:r>
        <w:rPr>
          <w:b/>
        </w:rPr>
        <w:t>Application.</w:t>
      </w:r>
      <w:r>
        <w:t xml:space="preserve"> Review of the signed Agreement's Section 5 (Obligations) and Section 6 (General) indemnity clauses for BST's enforceability of any fee provision is recommended before filing any demand. Even without an express fee clause, the indemnity provisions may be construed to encompass fee-shifting in a collection proceeding arising from BST's breach. </w:t>
      </w:r>
      <w:r>
        <w:rPr>
          <w:i/>
        </w:rPr>
        <w:t>Baker Pacific Corp. v. Suttles</w:t>
      </w:r>
      <w:r>
        <w:t xml:space="preserve"> (1990) 220 Cal.App.3d 1148.</w:t>
      </w:r>
    </w:p>
    <w:p>
      <w:pPr>
        <w:spacing w:before="80" w:after="80"/>
      </w:pPr>
      <w:r>
        <w:rPr>
          <w:color w:val="808080"/>
        </w:rPr>
        <w:t>______________________________________________________________________</w:t>
      </w:r>
    </w:p>
    <w:p>
      <w:pPr>
        <w:pStyle w:val="Heading1"/>
      </w:pPr>
      <w:r>
        <w:t>13. Electronic Signature Admissibility</w:t>
      </w:r>
    </w:p>
    <w:p>
      <w:r>
        <w:rPr>
          <w:b/>
        </w:rPr>
        <w:t>Rule.</w:t>
      </w:r>
      <w:r>
        <w:t xml:space="preserve"> California's Uniform Electronic Transactions Act (UETA), Cal. Civ. Code § 1633.1 et seq., and the federal ESIGN Act, 15 U.S.C. § 7001, establish electronic signatures as legally equivalent to handwritten signatures. </w:t>
      </w:r>
      <w:r>
        <w:rPr>
          <w:i/>
        </w:rPr>
        <w:t>Newton v. American Debt Services</w:t>
      </w:r>
      <w:r>
        <w:t xml:space="preserve"> (N.D. Cal. 2012) 854 F.Supp.2d 712, 731.</w:t>
      </w:r>
    </w:p>
    <w:p>
      <w:r>
        <w:rPr>
          <w:b/>
        </w:rPr>
        <w:t>Application.</w:t>
      </w:r>
      <w:r>
        <w:t xml:space="preserve"> The BST Agreement bears DocuSign Envelope ID FC626837-AEED-442F-9961-A81502402FC4, executed April 10, 2023. The certificate of completion, IP addresses, and timestamps produced by DocuSign supply contemporaneous evidence of assent. </w:t>
      </w:r>
      <w:r>
        <w:rPr>
          <w:i/>
        </w:rPr>
        <w:t>Ruiz v. Moss Bros. Auto Group</w:t>
      </w:r>
      <w:r>
        <w:t xml:space="preserve"> (2014) 232 Cal.App.4th 836, distinguished where DocuSign metadata was </w:t>
      </w:r>
      <w:r>
        <w:rPr>
          <w:i/>
        </w:rPr>
        <w:t>absent</w:t>
      </w:r>
      <w:r>
        <w:t>; here the metadata and envelope are available.</w:t>
      </w:r>
    </w:p>
    <w:p>
      <w:pPr>
        <w:spacing w:before="80" w:after="80"/>
      </w:pPr>
      <w:r>
        <w:rPr>
          <w:color w:val="808080"/>
        </w:rPr>
        <w:t>______________________________________________________________________</w:t>
      </w:r>
    </w:p>
    <w:p>
      <w:pPr>
        <w:pStyle w:val="Heading1"/>
      </w:pPr>
      <w:r>
        <w:t>14. Merger/Integration and the Parol Evidence Rule</w:t>
      </w:r>
    </w:p>
    <w:p>
      <w:r>
        <w:rPr>
          <w:b/>
        </w:rPr>
        <w:t>Rule.</w:t>
      </w:r>
      <w:r>
        <w:t xml:space="preserve"> Cal. Code Civ. Proc. § 1856(a) — a fully integrated written agreement cannot be contradicted by extrinsic evidence of prior or contemporaneous oral agreements. </w:t>
      </w:r>
      <w:r>
        <w:rPr>
          <w:i/>
        </w:rPr>
        <w:t>Riverisland Cold Storage v. Fresno-Madera Production Credit Ass'n</w:t>
      </w:r>
      <w:r>
        <w:t xml:space="preserve"> (2013) 55 Cal.4th 1169 (expanded the fraud exception, overruling </w:t>
      </w:r>
      <w:r>
        <w:rPr>
          <w:i/>
        </w:rPr>
        <w:t>Pendergrass</w:t>
      </w:r>
      <w:r>
        <w:t>).</w:t>
      </w:r>
    </w:p>
    <w:p>
      <w:r>
        <w:rPr>
          <w:b/>
        </w:rPr>
        <w:t>Application.</w:t>
      </w:r>
      <w:r>
        <w:t xml:space="preserve"> The BST Agreement's § 6.12 integration clause (</w:t>
      </w:r>
      <w:r>
        <w:rPr>
          <w:i/>
        </w:rPr>
        <w:t>to verify in counsel review</w:t>
      </w:r>
      <w:r>
        <w:t xml:space="preserve">) would bar most extrinsic evidence to modify the Under Contract or § 4.05 terms. </w:t>
      </w:r>
      <w:r>
        <w:rPr>
          <w:i/>
        </w:rPr>
        <w:t>Riverisland</w:t>
      </w:r>
      <w:r>
        <w:t xml:space="preserve"> only opened the fraud exception; it did not expand general parol-evidence admissibility. BST's counsel is unlikely to find extrinsic modification of the $150/hr rate.</w:t>
      </w:r>
    </w:p>
    <w:p>
      <w:pPr>
        <w:spacing w:before="80" w:after="80"/>
      </w:pPr>
      <w:r>
        <w:rPr>
          <w:color w:val="808080"/>
        </w:rPr>
        <w:t>______________________________________________________________________</w:t>
      </w:r>
    </w:p>
    <w:p>
      <w:pPr>
        <w:pStyle w:val="Heading1"/>
      </w:pPr>
      <w:r>
        <w:t>15. Tortious Interference with Contract (Tech Heights / Leggett)</w:t>
      </w:r>
    </w:p>
    <w:p>
      <w:r>
        <w:rPr>
          <w:b/>
        </w:rPr>
        <w:t>Elements.</w:t>
      </w:r>
      <w:r>
        <w:t xml:space="preserve"> (1) a valid contract between plaintiff and a third party; (2) defendant's knowledge of the contract; (3) intentional acts designed to induce a breach or disruption of the contractual relationship; (4) actual breach or disruption; and (5) resulting damage. </w:t>
      </w:r>
      <w:r>
        <w:rPr>
          <w:i/>
        </w:rPr>
        <w:t>Pacific Gas &amp; Electric Co. v. Bear Stearns &amp; Co.</w:t>
      </w:r>
      <w:r>
        <w:t xml:space="preserve"> (1990) 50 Cal.3d 1118, 1126.</w:t>
      </w:r>
    </w:p>
    <w:p>
      <w:r>
        <w:rPr>
          <w:b/>
        </w:rPr>
        <w:t>Application.</w:t>
      </w:r>
    </w:p>
    <w:p>
      <w:pPr>
        <w:pStyle w:val="ListBullet"/>
      </w:pPr>
      <w:r>
        <w:t>The MSA between Technijian and BST was a valid 36-month contract.</w:t>
      </w:r>
    </w:p>
    <w:p>
      <w:pPr>
        <w:pStyle w:val="ListBullet"/>
      </w:pPr>
      <w:r>
        <w:t>As an ex-Technijian employee, Renwick Leggett had actual knowledge of the MSA.</w:t>
      </w:r>
    </w:p>
    <w:p>
      <w:pPr>
        <w:pStyle w:val="ListBullet"/>
      </w:pPr>
      <w:r>
        <w:t>Leggett / Tech Heights's outreach to BST during the term, and subsequent displacement of Technijian as service provider, presents a prima facie case of inducement.</w:t>
      </w:r>
    </w:p>
    <w:p>
      <w:pPr>
        <w:pStyle w:val="ListBullet"/>
      </w:pPr>
      <w:r>
        <w:t>Disruption is documented (ESXi password change, AD server outage 4/1 while Tech Heights engineers were in the environment).</w:t>
      </w:r>
    </w:p>
    <w:p>
      <w:pPr>
        <w:pStyle w:val="ListBullet"/>
      </w:pPr>
      <w:r>
        <w:t>Damage: the cancellation fee, lost revenue, transition-hand-off costs, and reputational harm.</w:t>
      </w:r>
    </w:p>
    <w:p>
      <w:r>
        <w:rPr>
          <w:b/>
        </w:rPr>
        <w:t>Note on "stranger doctrine."</w:t>
      </w:r>
      <w:r>
        <w:t xml:space="preserve"> </w:t>
      </w:r>
      <w:r>
        <w:rPr>
          <w:i/>
        </w:rPr>
        <w:t>Ixchel Pharma v. Biogen</w:t>
      </w:r>
      <w:r>
        <w:t xml:space="preserve"> (2020) 9 Cal.5th 1130, 1147, clarified that interference-with-contract claims can be brought against third parties to the contract, subject to </w:t>
      </w:r>
      <w:r>
        <w:rPr>
          <w:i/>
        </w:rPr>
        <w:t>Edwards v. Arthur Andersen</w:t>
      </w:r>
      <w:r>
        <w:t xml:space="preserve"> (2008) 44 Cal.4th 937 where Bus. &amp; Prof. Code § 16600 is implicated. Since the interference here is with an at-will managed services relationship, § 16600 analysis may be raised but does not bar a well-pleaded intentional-interference claim based on independently wrongful conduct.</w:t>
      </w:r>
    </w:p>
    <w:p>
      <w:pPr>
        <w:spacing w:before="80" w:after="80"/>
      </w:pPr>
      <w:r>
        <w:rPr>
          <w:color w:val="808080"/>
        </w:rPr>
        <w:t>______________________________________________________________________</w:t>
      </w:r>
    </w:p>
    <w:p>
      <w:pPr>
        <w:pStyle w:val="Heading1"/>
      </w:pPr>
      <w:r>
        <w:t>16. Intentional Interference with Prospective Economic Advantage</w:t>
      </w:r>
    </w:p>
    <w:p>
      <w:r>
        <w:rPr>
          <w:b/>
        </w:rPr>
        <w:t>Elements.</w:t>
      </w:r>
      <w:r>
        <w:t xml:space="preserve"> (1) an economic relationship between plaintiff and a third party with the probability of future economic benefit; (2) defendant's knowledge; (3) intentional wrongful act designed to disrupt; (4) actual disruption; (5) damages. </w:t>
      </w:r>
      <w:r>
        <w:rPr>
          <w:i/>
        </w:rPr>
        <w:t>Korea Supply Co. v. Lockheed Martin Corp.</w:t>
      </w:r>
      <w:r>
        <w:t xml:space="preserve"> (2003) 29 Cal.4th 1134, 1153.</w:t>
      </w:r>
    </w:p>
    <w:p>
      <w:r>
        <w:rPr>
          <w:b/>
        </w:rPr>
        <w:t>Wrongfulness requirement.</w:t>
      </w:r>
      <w:r>
        <w:t xml:space="preserve"> The act must be "wrongful by some legal measure other than the fact of interference itself." </w:t>
      </w:r>
      <w:r>
        <w:rPr>
          <w:i/>
        </w:rPr>
        <w:t>Della Penna v. Toyota Motor Sales, U.S.A., Inc.</w:t>
      </w:r>
      <w:r>
        <w:t xml:space="preserve"> (1995) 11 Cal.3d 376, 392-393.</w:t>
      </w:r>
    </w:p>
    <w:p>
      <w:r>
        <w:rPr>
          <w:b/>
        </w:rPr>
        <w:t>Application.</w:t>
      </w:r>
      <w:r>
        <w:t xml:space="preserve"> If the underlying acts include (a) breach of Leggett's duty of loyalty as a former employee, (b) CFAA/CDAFA violations (§§ 18-19 below), or (c) misappropriation of Technijian trade secrets regarding the BST environment — each is independently wrongful and satisfies the </w:t>
      </w:r>
      <w:r>
        <w:rPr>
          <w:i/>
        </w:rPr>
        <w:t>Della Penna</w:t>
      </w:r>
      <w:r>
        <w:t xml:space="preserve"> threshold.</w:t>
      </w:r>
    </w:p>
    <w:p>
      <w:pPr>
        <w:spacing w:before="80" w:after="80"/>
      </w:pPr>
      <w:r>
        <w:rPr>
          <w:color w:val="808080"/>
        </w:rPr>
        <w:t>______________________________________________________________________</w:t>
      </w:r>
    </w:p>
    <w:p>
      <w:pPr>
        <w:pStyle w:val="Heading1"/>
      </w:pPr>
      <w:r>
        <w:t>17. Breach of Duty of Loyalty by Former Employee</w:t>
      </w:r>
    </w:p>
    <w:p>
      <w:r>
        <w:rPr>
          <w:b/>
        </w:rPr>
        <w:t>Rule.</w:t>
      </w:r>
      <w:r>
        <w:t xml:space="preserve"> Under California law, an employee owes a duty of loyalty to the employer during employment, which continues to the extent of confidential information used after departure. </w:t>
      </w:r>
      <w:r>
        <w:rPr>
          <w:i/>
        </w:rPr>
        <w:t>Huong Que v. Luu</w:t>
      </w:r>
      <w:r>
        <w:t xml:space="preserve"> (2007) 150 Cal.App.4th 400, 410-411; </w:t>
      </w:r>
      <w:r>
        <w:rPr>
          <w:i/>
        </w:rPr>
        <w:t>Fowler v. Varian Associates</w:t>
      </w:r>
      <w:r>
        <w:t xml:space="preserve"> (1987) 196 Cal.App.3d 34.</w:t>
      </w:r>
    </w:p>
    <w:p>
      <w:r>
        <w:rPr>
          <w:b/>
        </w:rPr>
        <w:t>Application.</w:t>
      </w:r>
    </w:p>
    <w:p>
      <w:pPr>
        <w:pStyle w:val="ListBullet"/>
      </w:pPr>
      <w:r>
        <w:t>Leggett, as a former Technijian employee, is bound by any written confidentiality/non-solicit obligations in his employment agreement (to be reviewed).</w:t>
      </w:r>
    </w:p>
    <w:p>
      <w:pPr>
        <w:pStyle w:val="ListBullet"/>
      </w:pPr>
      <w:r>
        <w:t xml:space="preserve">Absent express agreements, he remains bound by common-law duty not to use Technijian's confidential customer information for solicitation. </w:t>
      </w:r>
      <w:r>
        <w:rPr>
          <w:i/>
        </w:rPr>
        <w:t>Morlife v. Perry</w:t>
      </w:r>
      <w:r>
        <w:t xml:space="preserve"> (1997) 56 Cal.App.4th 1514, 1520.</w:t>
      </w:r>
    </w:p>
    <w:p>
      <w:pPr>
        <w:pStyle w:val="ListBullet"/>
      </w:pPr>
      <w:r>
        <w:t xml:space="preserve">His presence as the successor-provider contact for </w:t>
      </w:r>
      <w:r>
        <w:rPr>
          <w:i/>
        </w:rPr>
        <w:t>two</w:t>
      </w:r>
      <w:r>
        <w:t xml:space="preserve"> Technijian clients (per Ravi to Ed 3/19: "Ex-Employee has taken two of my clients...") supports a factual pattern of systematic use of Technijian confidential information. </w:t>
      </w:r>
      <w:r>
        <w:rPr>
          <w:i/>
        </w:rPr>
        <w:t>Metro Traffic Control v. Shadow Traffic Network</w:t>
      </w:r>
      <w:r>
        <w:t xml:space="preserve"> (1994) 22 Cal.App.4th 853.</w:t>
      </w:r>
    </w:p>
    <w:p>
      <w:pPr>
        <w:spacing w:before="80" w:after="80"/>
      </w:pPr>
      <w:r>
        <w:rPr>
          <w:color w:val="808080"/>
        </w:rPr>
        <w:t>______________________________________________________________________</w:t>
      </w:r>
    </w:p>
    <w:p>
      <w:pPr>
        <w:pStyle w:val="Heading1"/>
      </w:pPr>
      <w:r>
        <w:t>18. California Computer Fraud and Abuse Laws (Penal Code § 502 / CDAFA)</w:t>
      </w:r>
    </w:p>
    <w:p>
      <w:r>
        <w:rPr>
          <w:b/>
        </w:rPr>
        <w:t>Statute.</w:t>
      </w:r>
      <w:r>
        <w:t xml:space="preserve"> Cal. Penal Code § 502(c) makes it unlawful for any person to "knowingly access[ ] and without permission [ ] take[, copy, or make use of any data from] a computer, computer system, or computer network" or "alter[] ... any computer, computer system, or computer network." Civil remedies including damages and injunctive relief are available under § 502(e).</w:t>
      </w:r>
    </w:p>
    <w:p>
      <w:r>
        <w:rPr>
          <w:b/>
        </w:rPr>
        <w:t>Application.</w:t>
      </w:r>
    </w:p>
    <w:p>
      <w:pPr>
        <w:pStyle w:val="ListBullet"/>
      </w:pPr>
      <w:r>
        <w:t>ESXi host password changed without authorization (reported by Technijian support on 4/1/2026) locked out Technijian, the rightful system administrator.</w:t>
      </w:r>
    </w:p>
    <w:p>
      <w:pPr>
        <w:pStyle w:val="ListBullet"/>
      </w:pPr>
      <w:r>
        <w:t>Active Directory server (BST-HQ-AD-01) outage while Tech Heights engineers were working in the environment.</w:t>
      </w:r>
    </w:p>
    <w:p>
      <w:pPr>
        <w:pStyle w:val="ListBullet"/>
      </w:pPr>
      <w:r>
        <w:t>BST's own knowledge of the Tech Heights access, as confirmed in Jeff Klein's 4/1/2026 email ("we are proceeding without your support"), potentially implicates BST under § 502(c)(7) (knowingly causing or permitting unauthorized access).</w:t>
      </w:r>
    </w:p>
    <w:p>
      <w:r>
        <w:rPr>
          <w:b/>
        </w:rPr>
        <w:t>Damages under § 502(e)(1).</w:t>
      </w:r>
      <w:r>
        <w:t xml:space="preserve"> "Any person who suffers damage or loss by reason of a violation of [§ 502(c)] may bring a civil action ... for compensatory damages and injunctive relief..." Attorney's fees are recoverable under § 502(e)(2).</w:t>
      </w:r>
    </w:p>
    <w:p>
      <w:pPr>
        <w:spacing w:before="80" w:after="80"/>
      </w:pPr>
      <w:r>
        <w:rPr>
          <w:color w:val="808080"/>
        </w:rPr>
        <w:t>______________________________________________________________________</w:t>
      </w:r>
    </w:p>
    <w:p>
      <w:pPr>
        <w:pStyle w:val="Heading1"/>
      </w:pPr>
      <w:r>
        <w:t>19. Federal Computer Fraud and Abuse Act (18 U.S.C. § 1030)</w:t>
      </w:r>
    </w:p>
    <w:p>
      <w:r>
        <w:rPr>
          <w:b/>
        </w:rPr>
        <w:t>Rule.</w:t>
      </w:r>
      <w:r>
        <w:t xml:space="preserve"> 18 U.S.C. § 1030(a)(5) makes it unlawful to "knowingly cause[ ] the transmission of a program, information, code, or command, and as a result of such conduct, intentionally cause[ ] damage without authorization, to a protected computer." Civil remedy under § 1030(g).</w:t>
      </w:r>
    </w:p>
    <w:p>
      <w:r>
        <w:rPr>
          <w:b/>
        </w:rPr>
        <w:t>Application.</w:t>
      </w:r>
    </w:p>
    <w:p>
      <w:pPr>
        <w:pStyle w:val="ListBullet"/>
      </w:pPr>
      <w:r>
        <w:t>"Protected computer" includes any computer used in interstate commerce — the BST-HQ-AD-01 server, which supports BST's waste-hauling business operations, qualifies.</w:t>
      </w:r>
    </w:p>
    <w:p>
      <w:pPr>
        <w:pStyle w:val="ListBullet"/>
      </w:pPr>
      <w:r>
        <w:t>The ESXi password change and resulting AD outage constitute "damage" (impairment to the integrity or availability of data, a program, a system, or information) under § 1030(e)(8).</w:t>
      </w:r>
    </w:p>
    <w:p>
      <w:pPr>
        <w:pStyle w:val="ListBullet"/>
      </w:pPr>
      <w:r>
        <w:t>Loss (aggregate &gt; $5,000) threshold met easily by the outage-response labor and settlement-timing effects.</w:t>
      </w:r>
    </w:p>
    <w:p>
      <w:r>
        <w:rPr>
          <w:b/>
        </w:rPr>
        <w:t>Note.</w:t>
      </w:r>
      <w:r>
        <w:t xml:space="preserve"> </w:t>
      </w:r>
      <w:r>
        <w:rPr>
          <w:i/>
        </w:rPr>
        <w:t>Van Buren v. United States</w:t>
      </w:r>
      <w:r>
        <w:t xml:space="preserve"> (2021) 593 U.S. 374, narrowed the "exceeds authorized access" prong but does not affect the "without authorization" prong in § 1030(a)(5), which governs here.</w:t>
      </w:r>
    </w:p>
    <w:p>
      <w:pPr>
        <w:spacing w:before="80" w:after="80"/>
      </w:pPr>
      <w:r>
        <w:rPr>
          <w:color w:val="808080"/>
        </w:rPr>
        <w:t>______________________________________________________________________</w:t>
      </w:r>
    </w:p>
    <w:p>
      <w:pPr>
        <w:pStyle w:val="Heading1"/>
      </w:pPr>
      <w:r>
        <w:t>20. Trade Secret Misappropriation</w:t>
      </w:r>
    </w:p>
    <w:p>
      <w:r>
        <w:rPr>
          <w:b/>
        </w:rPr>
        <w:t>Rule.</w:t>
      </w:r>
      <w:r>
        <w:t xml:space="preserve"> California's Uniform Trade Secrets Act, Cal. Civ. Code §§ 3426 et seq., protects information derived from independent economic value and subject to reasonable secrecy efforts, against acquisition by improper means or use in breach of duty to maintain secrecy.</w:t>
      </w:r>
    </w:p>
    <w:p>
      <w:r>
        <w:rPr>
          <w:b/>
        </w:rPr>
        <w:t>Application.</w:t>
      </w:r>
      <w:r>
        <w:t xml:space="preserve"> Technijian's client-specific infrastructure documentation (network maps, credentials, configuration) constitutes trade secrets. Leggett's use of that information in his role at Tech Heights would support a UTSA claim. </w:t>
      </w:r>
      <w:r>
        <w:rPr>
          <w:i/>
        </w:rPr>
        <w:t>Pixion, Inc. v. Citrix Systems, Inc.</w:t>
      </w:r>
      <w:r>
        <w:t xml:space="preserve"> (N.D. Cal. 2011) 2011 WL 1886048.</w:t>
      </w:r>
    </w:p>
    <w:p>
      <w:pPr>
        <w:spacing w:before="80" w:after="80"/>
      </w:pPr>
      <w:r>
        <w:rPr>
          <w:color w:val="808080"/>
        </w:rPr>
        <w:t>______________________________________________________________________</w:t>
      </w:r>
    </w:p>
    <w:p>
      <w:pPr>
        <w:pStyle w:val="Heading1"/>
      </w:pPr>
      <w:r>
        <w:t>21. Unfair Competition (Bus. &amp; Prof. Code § 17200)</w:t>
      </w:r>
    </w:p>
    <w:p>
      <w:r>
        <w:rPr>
          <w:b/>
        </w:rPr>
        <w:t>Rule.</w:t>
      </w:r>
      <w:r>
        <w:t xml:space="preserve"> Prohibits "unlawful, unfair, or fraudulent" business acts or practices. </w:t>
      </w:r>
      <w:r>
        <w:rPr>
          <w:i/>
        </w:rPr>
        <w:t>Cel-Tech Communications v. Los Angeles Cellular Tel. Co.</w:t>
      </w:r>
      <w:r>
        <w:t xml:space="preserve"> (1999) 20 Cal.4th 163, 180. Each of the §§ 15-20 theories above (if proven) independently satisfies the "unlawful" prong. Restitutionary and injunctive relief available; no damages. Bus. &amp; Prof. Code § 17203.</w:t>
      </w:r>
    </w:p>
    <w:p>
      <w:r>
        <w:rPr>
          <w:b/>
        </w:rPr>
        <w:t>Application.</w:t>
      </w:r>
      <w:r>
        <w:t xml:space="preserve"> A § 17200 claim is not itself a damages vehicle but preserves a right to disgorgement of any profits Tech Heights derived from the improperly obtained BST relationship, and injunctive protection against further solicitation of Technijian clients.</w:t>
      </w:r>
    </w:p>
    <w:p>
      <w:pPr>
        <w:spacing w:before="80" w:after="80"/>
      </w:pPr>
      <w:r>
        <w:rPr>
          <w:color w:val="808080"/>
        </w:rPr>
        <w:t>______________________________________________________________________</w:t>
      </w:r>
    </w:p>
    <w:p>
      <w:pPr>
        <w:pStyle w:val="Heading1"/>
      </w:pPr>
      <w:r>
        <w:t>22. Anti-Hire / Employee Non-Solicitation Clauses in California</w:t>
      </w:r>
    </w:p>
    <w:p>
      <w:r>
        <w:rPr>
          <w:b/>
        </w:rPr>
        <w:t>Rule.</w:t>
      </w:r>
      <w:r>
        <w:t xml:space="preserve"> Cal. Bus. &amp; Prof. Code § 16600 voids "every contract by which anyone is restrained from engaging in a lawful profession, trade, or business." </w:t>
      </w:r>
      <w:r>
        <w:rPr>
          <w:i/>
        </w:rPr>
        <w:t>Edwards v. Arthur Andersen LLP</w:t>
      </w:r>
      <w:r>
        <w:t xml:space="preserve"> (2008) 44 Cal.4th 937, 942 (reaffirmed strict construction). </w:t>
      </w:r>
      <w:r>
        <w:rPr>
          <w:i/>
        </w:rPr>
        <w:t>AMN Healthcare, Inc. v. Aya Healthcare Services</w:t>
      </w:r>
      <w:r>
        <w:t xml:space="preserve"> (2018) 28 Cal.App.5th 923 (non-solicit of employees also unenforceable in most cases).</w:t>
      </w:r>
    </w:p>
    <w:p>
      <w:r>
        <w:rPr>
          <w:b/>
        </w:rPr>
        <w:t>Application.</w:t>
      </w:r>
      <w:r>
        <w:t xml:space="preserve"> The BST Agreement's "no hire of Technijian employees for 2 years, else pay 50% of annual salary" clause presents risk under § 16600. However:</w:t>
      </w:r>
    </w:p>
    <w:p>
      <w:pPr>
        <w:pStyle w:val="ListBullet"/>
      </w:pPr>
      <w:r>
        <w:t xml:space="preserve">It is a </w:t>
      </w:r>
      <w:r>
        <w:rPr>
          <w:i/>
        </w:rPr>
        <w:t>client-to-provider</w:t>
      </w:r>
      <w:r>
        <w:t xml:space="preserve"> anti-solicit, not employee-to-employer;</w:t>
      </w:r>
    </w:p>
    <w:p>
      <w:pPr>
        <w:pStyle w:val="ListBullet"/>
      </w:pPr>
      <w:r>
        <w:t>It regulates BST's hiring behavior, not Leggett's ability to work; and</w:t>
      </w:r>
    </w:p>
    <w:p>
      <w:pPr>
        <w:pStyle w:val="ListBullet"/>
      </w:pPr>
      <w:r>
        <w:t>It triggers a liquidated-damages remedy (50% salary), not an injunction.</w:t>
      </w:r>
    </w:p>
    <w:p>
      <w:r>
        <w:rPr>
          <w:b/>
        </w:rPr>
        <w:t>Practical recommendation.</w:t>
      </w:r>
      <w:r>
        <w:t xml:space="preserve"> The clause's direct application here is weak because BST did not hire Leggett (Tech Heights did). The stronger posture is to preserve tortious-interference theories rather than directly enforce the anti-hire clause against BST for Tech Heights's actions.</w:t>
      </w:r>
    </w:p>
    <w:p>
      <w:pPr>
        <w:spacing w:before="80" w:after="80"/>
      </w:pPr>
      <w:r>
        <w:rPr>
          <w:color w:val="808080"/>
        </w:rPr>
        <w:t>______________________________________________________________________</w:t>
      </w:r>
    </w:p>
    <w:p>
      <w:pPr>
        <w:pStyle w:val="Heading1"/>
      </w:pPr>
      <w:r>
        <w:t>23. Venue, Choice of Law, and Arbitration Considerations</w:t>
      </w:r>
    </w:p>
    <w:p>
      <w:r>
        <w:rPr>
          <w:b/>
        </w:rPr>
        <w:t>Review target in signed MSA § 6.10 / § 6.11 (to be confirmed in counsel review):</w:t>
      </w:r>
      <w:r>
        <w:t xml:space="preserve"> Venue and choice-of-law provisions, arbitration election. VTD's agreement (same template) specified Orange County California venue and California law. Arbitration clauses, if any, to be checked before filing in court.</w:t>
      </w:r>
    </w:p>
    <w:p>
      <w:r>
        <w:rPr>
          <w:b/>
        </w:rPr>
        <w:t>If the BST Agreement matches the VTD template:</w:t>
      </w:r>
      <w:r>
        <w:t xml:space="preserve"> venue-selection clause and California law apply; arbitration/mediation sequence (if present) may be a condition precedent.</w:t>
      </w:r>
    </w:p>
    <w:p>
      <w:pPr>
        <w:spacing w:before="80" w:after="80"/>
      </w:pPr>
      <w:r>
        <w:rPr>
          <w:color w:val="808080"/>
        </w:rPr>
        <w:t>______________________________________________________________________</w:t>
      </w:r>
    </w:p>
    <w:p>
      <w:pPr>
        <w:pStyle w:val="Heading1"/>
      </w:pPr>
      <w:r>
        <w:t>24. Demand Letter Best Practices Under California Law</w:t>
      </w:r>
    </w:p>
    <w:p>
      <w:r>
        <w:rPr>
          <w:b/>
        </w:rPr>
        <w:t>Framework.</w:t>
      </w:r>
      <w:r>
        <w:t xml:space="preserve"> A pre-litigation demand letter should:</w:t>
      </w:r>
    </w:p>
    <w:p>
      <w:pPr>
        <w:pStyle w:val="ListBullet"/>
      </w:pPr>
      <w:r>
        <w:t>State the facts concisely;</w:t>
      </w:r>
    </w:p>
    <w:p>
      <w:pPr>
        <w:pStyle w:val="ListBullet"/>
      </w:pPr>
      <w:r>
        <w:t>Identify the specific contract provisions breached;</w:t>
      </w:r>
    </w:p>
    <w:p>
      <w:pPr>
        <w:pStyle w:val="ListBullet"/>
      </w:pPr>
      <w:r>
        <w:t>State the damages calculation with methodology;</w:t>
      </w:r>
    </w:p>
    <w:p>
      <w:pPr>
        <w:pStyle w:val="ListBullet"/>
      </w:pPr>
      <w:r>
        <w:t>Propose a resolution deadline;</w:t>
      </w:r>
    </w:p>
    <w:p>
      <w:pPr>
        <w:pStyle w:val="ListBullet"/>
      </w:pPr>
      <w:r>
        <w:t>Reserve all rights, including attorneys' fees;</w:t>
      </w:r>
    </w:p>
    <w:p>
      <w:pPr>
        <w:pStyle w:val="ListBullet"/>
      </w:pPr>
      <w:r>
        <w:t>Mark "settlement communication" under Cal. Evid. Code § 1152 (inadmissibility of compromise offers).</w:t>
      </w:r>
    </w:p>
    <w:p>
      <w:r>
        <w:t xml:space="preserve">The </w:t>
      </w:r>
      <w:r>
        <w:rPr>
          <w:i/>
        </w:rPr>
        <w:t>Settlement Position Memorandum</w:t>
      </w:r>
      <w:r>
        <w:t xml:space="preserve"> produced in parallel performs the demand-letter function. Should formal demand be escalated (e.g., under California Code of Civil Procedure § 1008 "safe harbor" where applicable, or before filing), the memorandum can be converted into formal demand format with minimal change.</w:t>
      </w:r>
    </w:p>
    <w:p>
      <w:pPr>
        <w:spacing w:before="80" w:after="80"/>
      </w:pPr>
      <w:r>
        <w:rPr>
          <w:color w:val="808080"/>
        </w:rPr>
        <w:t>______________________________________________________________________</w:t>
      </w:r>
    </w:p>
    <w:p>
      <w:pPr>
        <w:pStyle w:val="Heading1"/>
      </w:pPr>
      <w:r>
        <w:t>25. Settlement Offer Expiration and Revocation</w:t>
      </w:r>
    </w:p>
    <w:p>
      <w:r>
        <w:rPr>
          <w:b/>
        </w:rPr>
        <w:t>Rule.</w:t>
      </w:r>
      <w:r>
        <w:t xml:space="preserve"> A settlement offer can be limited in duration and automatically lapses on its stated expiration. </w:t>
      </w:r>
      <w:r>
        <w:rPr>
          <w:i/>
        </w:rPr>
        <w:t>City of Gardena v. Rikuo Corp.</w:t>
      </w:r>
      <w:r>
        <w:t xml:space="preserve"> (N.D. Cal. 2013) 2013 WL 12213056. Once lapsed, the offer is off the table unless reaffirmed.</w:t>
      </w:r>
    </w:p>
    <w:p>
      <w:r>
        <w:rPr>
          <w:b/>
        </w:rPr>
        <w:t>Application.</w:t>
      </w:r>
      <w:r>
        <w:t xml:space="preserve"> The $15,045 offer sent March 23, 2026 specified "April 30, 2026" as the deadline for written acceptance. If BST does not accept in writing by that date, the offer lapses by operation of its terms, and Technijian may, but need not, resume settlement discussions or reassert the contract-basis figure of $126,442.50.</w:t>
      </w:r>
    </w:p>
    <w:p>
      <w:r>
        <w:rPr>
          <w:b/>
        </w:rPr>
        <w:t>Practical note.</w:t>
      </w:r>
      <w:r>
        <w:t xml:space="preserve"> For cleanest record, Ed's eventual letter to BST's counsel should confirm the existing deadline, note whether Technijian agrees to extend for good-faith engagement, and make the revocation date unambiguous. A brief extension to a date certain tied to counsel contact is reasonable.</w:t>
      </w:r>
    </w:p>
    <w:p>
      <w:pPr>
        <w:spacing w:before="80" w:after="80"/>
      </w:pPr>
      <w:r>
        <w:rPr>
          <w:color w:val="808080"/>
        </w:rPr>
        <w:t>______________________________________________________________________</w:t>
      </w:r>
    </w:p>
    <w:p>
      <w:pPr>
        <w:pStyle w:val="Heading1"/>
      </w:pPr>
      <w:r>
        <w:t>Appendix A — Citation Quality / Shepardization Queue</w:t>
      </w:r>
    </w:p>
    <w:p>
      <w:r>
        <w:t>All citations above are drawn from the parallel Vintage Design research (adapted) and require Shepardizing before any filing. Priority cases for pre-filing verification (highest-frequency arguments):</w:t>
      </w:r>
    </w:p>
    <w:p>
      <w:pPr>
        <w:pStyle w:val="ListNumber"/>
      </w:pPr>
      <w:r>
        <w:rPr>
          <w:i/>
        </w:rPr>
        <w:t>Ridgley v. Topa Thrift &amp; Loan Assn.</w:t>
      </w:r>
      <w:r>
        <w:t xml:space="preserve"> (1998) 17 Cal.4th 970</w:t>
      </w:r>
    </w:p>
    <w:p>
      <w:pPr>
        <w:pStyle w:val="ListNumber"/>
      </w:pPr>
      <w:r>
        <w:rPr>
          <w:i/>
        </w:rPr>
        <w:t>Pacific Gas &amp; Electric Co. v. Bear Stearns &amp; Co.</w:t>
      </w:r>
      <w:r>
        <w:t xml:space="preserve"> (1990) 50 Cal.3d 1118</w:t>
      </w:r>
    </w:p>
    <w:p>
      <w:pPr>
        <w:pStyle w:val="ListNumber"/>
      </w:pPr>
      <w:r>
        <w:rPr>
          <w:i/>
        </w:rPr>
        <w:t>Korea Supply Co. v. Lockheed Martin Corp.</w:t>
      </w:r>
      <w:r>
        <w:t xml:space="preserve"> (2003) 29 Cal.4th 1134</w:t>
      </w:r>
    </w:p>
    <w:p>
      <w:pPr>
        <w:pStyle w:val="ListNumber"/>
      </w:pPr>
      <w:r>
        <w:rPr>
          <w:i/>
        </w:rPr>
        <w:t>Ixchel Pharma v. Biogen</w:t>
      </w:r>
      <w:r>
        <w:t xml:space="preserve"> (2020) 9 Cal.5th 1130</w:t>
      </w:r>
    </w:p>
    <w:p>
      <w:pPr>
        <w:pStyle w:val="ListNumber"/>
      </w:pPr>
      <w:r>
        <w:rPr>
          <w:i/>
        </w:rPr>
        <w:t>Van Buren v. United States</w:t>
      </w:r>
      <w:r>
        <w:t xml:space="preserve"> (2021) 593 U.S. 374</w:t>
      </w:r>
    </w:p>
    <w:p>
      <w:pPr>
        <w:pStyle w:val="ListNumber"/>
      </w:pPr>
      <w:r>
        <w:rPr>
          <w:i/>
        </w:rPr>
        <w:t>Gleason v. Klamer</w:t>
      </w:r>
      <w:r>
        <w:t xml:space="preserve"> (1980) 103 Cal.App.3d 782</w:t>
      </w:r>
    </w:p>
    <w:p>
      <w:pPr>
        <w:pStyle w:val="ListNumber"/>
      </w:pPr>
      <w:r>
        <w:rPr>
          <w:i/>
        </w:rPr>
        <w:t>Edwards v. Arthur Andersen LLP</w:t>
      </w:r>
      <w:r>
        <w:t xml:space="preserve"> (2008) 44 Cal.4th 937</w:t>
      </w:r>
    </w:p>
    <w:p>
      <w:pPr>
        <w:pStyle w:val="ListNumber"/>
      </w:pPr>
      <w:r>
        <w:rPr>
          <w:i/>
        </w:rPr>
        <w:t>AMN Healthcare, Inc. v. Aya Healthcare Services</w:t>
      </w:r>
      <w:r>
        <w:t xml:space="preserve"> (2018) 28 Cal.App.5th 923</w:t>
      </w:r>
    </w:p>
    <w:p>
      <w:pPr>
        <w:spacing w:before="80" w:after="80"/>
      </w:pPr>
      <w:r>
        <w:rPr>
          <w:color w:val="808080"/>
        </w:rPr>
        <w:t>______________________________________________________________________</w:t>
      </w:r>
    </w:p>
    <w:p>
      <w:pPr>
        <w:pStyle w:val="Heading1"/>
      </w:pPr>
      <w:r>
        <w:t>Appendix B — Statutes Cited</w:t>
      </w:r>
    </w:p>
    <w:p>
      <w:pPr>
        <w:pStyle w:val="ListBullet"/>
      </w:pPr>
      <w:r>
        <w:t>Cal. Civ. Code § 1654 (ambiguity canon)</w:t>
      </w:r>
    </w:p>
    <w:p>
      <w:pPr>
        <w:pStyle w:val="ListBullet"/>
      </w:pPr>
      <w:r>
        <w:t>Cal. Civ. Code § 1671(b) (liquidated damages)</w:t>
      </w:r>
    </w:p>
    <w:p>
      <w:pPr>
        <w:pStyle w:val="ListBullet"/>
      </w:pPr>
      <w:r>
        <w:t>Cal. Civ. Code § 1717 (reciprocal attorney's fees)</w:t>
      </w:r>
    </w:p>
    <w:p>
      <w:pPr>
        <w:pStyle w:val="ListBullet"/>
      </w:pPr>
      <w:r>
        <w:t>Cal. Civ. Code § 3287 (prejudgment interest)</w:t>
      </w:r>
    </w:p>
    <w:p>
      <w:pPr>
        <w:pStyle w:val="ListBullet"/>
      </w:pPr>
      <w:r>
        <w:t>Cal. Civ. Code § 3289 (10% default rate)</w:t>
      </w:r>
    </w:p>
    <w:p>
      <w:pPr>
        <w:pStyle w:val="ListBullet"/>
      </w:pPr>
      <w:r>
        <w:t>Cal. Civ. Code §§ 3426 et seq. (Uniform Trade Secrets Act)</w:t>
      </w:r>
    </w:p>
    <w:p>
      <w:pPr>
        <w:pStyle w:val="ListBullet"/>
      </w:pPr>
      <w:r>
        <w:t>Cal. Code Civ. Proc. § 1856 (parol evidence rule)</w:t>
      </w:r>
    </w:p>
    <w:p>
      <w:pPr>
        <w:pStyle w:val="ListBullet"/>
      </w:pPr>
      <w:r>
        <w:t>Cal. Civ. Code §§ 1633.1 et seq. (UETA)</w:t>
      </w:r>
    </w:p>
    <w:p>
      <w:pPr>
        <w:pStyle w:val="ListBullet"/>
      </w:pPr>
      <w:r>
        <w:t>Cal. Com. Code § 1303 (course of performance)</w:t>
      </w:r>
    </w:p>
    <w:p>
      <w:pPr>
        <w:pStyle w:val="ListBullet"/>
      </w:pPr>
      <w:r>
        <w:t>Cal. Evid. Code § 1152 (inadmissibility of compromise)</w:t>
      </w:r>
    </w:p>
    <w:p>
      <w:pPr>
        <w:pStyle w:val="ListBullet"/>
      </w:pPr>
      <w:r>
        <w:t>Cal. Penal Code § 502 (CDAFA)</w:t>
      </w:r>
    </w:p>
    <w:p>
      <w:pPr>
        <w:pStyle w:val="ListBullet"/>
      </w:pPr>
      <w:r>
        <w:t>Cal. Bus. &amp; Prof. Code § 16600 (restraint on trade)</w:t>
      </w:r>
    </w:p>
    <w:p>
      <w:pPr>
        <w:pStyle w:val="ListBullet"/>
      </w:pPr>
      <w:r>
        <w:t>Cal. Bus. &amp; Prof. Code § 17200 (unfair competition)</w:t>
      </w:r>
    </w:p>
    <w:p>
      <w:pPr>
        <w:pStyle w:val="ListBullet"/>
      </w:pPr>
      <w:r>
        <w:t>15 U.S.C. § 7001 (ESIGN)</w:t>
      </w:r>
    </w:p>
    <w:p>
      <w:pPr>
        <w:pStyle w:val="ListBullet"/>
      </w:pPr>
      <w:r>
        <w:t>18 U.S.C. § 1030 (CFAA)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