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Technijian, Inc.</w:t>
      </w:r>
    </w:p>
    <w:p>
      <w:pPr>
        <w:jc w:val="center"/>
      </w:pPr>
      <w:r>
        <w:rPr>
          <w:i/>
          <w:color w:val="5B7A99"/>
          <w:sz w:val="20"/>
        </w:rPr>
        <w:t>Technology as a Solution</w:t>
      </w:r>
    </w:p>
    <w:p>
      <w:pPr>
        <w:jc w:val="center"/>
      </w:pPr>
      <w:r>
        <w:rPr>
          <w:sz w:val="18"/>
        </w:rPr>
        <w:t>18 Technology Drive, Suite 141, Irvine, CA 92618  |  (949) 379-8499  |  www.technijian.com</w:t>
      </w:r>
    </w:p>
    <w:p>
      <w:pPr>
        <w:pBdr>
          <w:bottom w:val="single" w:sz="8" w:color="1F4E79"/>
        </w:pBdr>
      </w:pPr>
    </w:p>
    <w:p/>
    <w:p>
      <w:pPr>
        <w:spacing w:before="240" w:after="120"/>
        <w:jc w:val="center"/>
      </w:pPr>
      <w:r>
        <w:rPr>
          <w:b/>
          <w:color w:val="1F4E79"/>
          <w:sz w:val="28"/>
        </w:rPr>
        <w:t>CALIFORNIA CASE LAW RESEARCH MEMORANDUM</w:t>
      </w:r>
    </w:p>
    <w:p>
      <w:pPr>
        <w:pBdr>
          <w:bottom w:val="single" w:sz="4" w:color="888888"/>
        </w:pBdr>
      </w:pPr>
    </w:p>
    <w:p>
      <w:pPr>
        <w:spacing w:after="40"/>
      </w:pPr>
      <w:r>
        <w:rPr>
          <w:b/>
        </w:rPr>
        <w:t xml:space="preserve">Re: </w:t>
      </w:r>
      <w:r>
        <w:t>Technijian, Inc. v. Vintage Design, LLC — AAA Arbitration</w:t>
      </w:r>
    </w:p>
    <w:p>
      <w:pPr>
        <w:spacing w:after="40"/>
      </w:pPr>
      <w:r>
        <w:rPr>
          <w:b/>
        </w:rPr>
        <w:t xml:space="preserve">Subject: </w:t>
      </w:r>
      <w:r>
        <w:t>Authorities supporting Technijian's claims and anticipated defenses</w:t>
      </w:r>
    </w:p>
    <w:p>
      <w:pPr>
        <w:spacing w:after="40"/>
      </w:pPr>
      <w:r>
        <w:rPr>
          <w:b/>
        </w:rPr>
        <w:t xml:space="preserve">Date: </w:t>
      </w:r>
      <w:r>
        <w:t>April 14, 2026</w:t>
      </w:r>
    </w:p>
    <w:p>
      <w:pPr>
        <w:spacing w:after="40"/>
      </w:pPr>
      <w:r>
        <w:rPr>
          <w:b/>
        </w:rPr>
        <w:t xml:space="preserve">Prepared for: </w:t>
      </w:r>
      <w:r>
        <w:t>Edward Susolik, Esq. — Callahan &amp; Blaine, PC</w:t>
      </w:r>
    </w:p>
    <w:p/>
    <w:p>
      <w:pPr>
        <w:jc w:val="both"/>
      </w:pPr>
      <w:r>
        <w:rPr>
          <w:b w:val="0"/>
          <w:i/>
        </w:rPr>
        <w:t>Caveat: All citations below should be Shepardized / cite-checked before filing. This memorandum organizes leading California authorities by issue; it is not a substitute for independent verification. Where federal authority is included it is noted.</w:t>
      </w:r>
    </w:p>
    <w:p>
      <w:pPr>
        <w:spacing w:before="240" w:after="120"/>
      </w:pPr>
      <w:r>
        <w:rPr>
          <w:b/>
          <w:sz w:val="22"/>
        </w:rPr>
        <w:t>1. Breach of Written Contract — Elements</w:t>
      </w:r>
    </w:p>
    <w:p>
      <w:pPr>
        <w:jc w:val="both"/>
      </w:pPr>
      <w:r>
        <w:rPr>
          <w:b w:val="0"/>
          <w:i w:val="0"/>
        </w:rPr>
        <w:t>Oasis West Realty, LLC v. Goldman (2011) 51 Cal.4th 811, 821; Reichert v. General Ins. Co. (1968) 68 Cal.2d 822, 830; Coles v. Glaser (2016) 2 Cal.App.5th 384, 391.</w:t>
      </w:r>
    </w:p>
    <w:p>
      <w:pPr>
        <w:spacing w:before="240" w:after="120"/>
      </w:pPr>
      <w:r>
        <w:rPr>
          <w:b/>
          <w:sz w:val="22"/>
        </w:rPr>
        <w:t>2. Liquidated Damages / Cancellation Fee ($150/hr) — Cal. Civ. Code § 1671(b)</w:t>
      </w:r>
    </w:p>
    <w:p>
      <w:pPr>
        <w:jc w:val="both"/>
      </w:pPr>
      <w:r>
        <w:rPr>
          <w:b w:val="0"/>
          <w:i w:val="0"/>
        </w:rPr>
        <w:t>Cal. Civ. Code § 1671(b) (presumption of validity; burden on challenger); Ridgley v. Topa Thrift &amp; Loan Assn. (1998) 17 Cal.4th 970, 977; Hitz v. First Interstate Bank (1995) 38 Cal.App.4th 274, 286–289; El Centro Mall, LLC v. Payless ShoeSource, Inc. (2009) 174 Cal.App.4th 58, 63; Greentree Financial Group v. Execute Sports (2008) 163 Cal.App.4th 495. Key fact: $150 cancellation rate is at or below the Agreement's own Out-of-Contract rates ($150 onsite normal / $200 onsite AH) — not a penalty as a matter of law.</w:t>
      </w:r>
    </w:p>
    <w:p>
      <w:pPr>
        <w:spacing w:before="240" w:after="120"/>
      </w:pPr>
      <w:r>
        <w:rPr>
          <w:b/>
          <w:sz w:val="22"/>
        </w:rPr>
        <w:t>3. Open Book Account (CCP § 337a)</w:t>
      </w:r>
    </w:p>
    <w:p>
      <w:pPr>
        <w:jc w:val="both"/>
      </w:pPr>
      <w:r>
        <w:rPr>
          <w:b w:val="0"/>
          <w:i w:val="0"/>
        </w:rPr>
        <w:t>Cal. Code Civ. Proc. § 337a (definition); § 337(b) (4-year SOL); Interstate Group Administrators v. Cravens, Dargan &amp; Co. (1985) 174 Cal.App.3d 700, 708; R.N.C. Inc. v. Tsegeletos (1991) 231 Cal.App.3d 967, 971–972.</w:t>
      </w:r>
    </w:p>
    <w:p>
      <w:pPr>
        <w:spacing w:before="240" w:after="120"/>
      </w:pPr>
      <w:r>
        <w:rPr>
          <w:b/>
          <w:sz w:val="22"/>
        </w:rPr>
        <w:t>4. Account Stated</w:t>
      </w:r>
    </w:p>
    <w:p>
      <w:pPr>
        <w:jc w:val="both"/>
      </w:pPr>
      <w:r>
        <w:rPr>
          <w:b w:val="0"/>
          <w:i w:val="0"/>
        </w:rPr>
        <w:t>Zinn v. Fred R. Bright Co. (1969) 271 Cal.App.2d 597, 600 (elements); Trafton v. Youngblood (1968) 69 Cal.2d 17, 25; Gleason v. Klamer (1980) 103 Cal.App.3d 782, 787.</w:t>
      </w:r>
    </w:p>
    <w:p>
      <w:pPr>
        <w:spacing w:before="240" w:after="120"/>
      </w:pPr>
      <w:r>
        <w:rPr>
          <w:b/>
          <w:sz w:val="22"/>
        </w:rPr>
        <w:t>5. Services Rendered / Quantum Meruit (Alternative)</w:t>
      </w:r>
    </w:p>
    <w:p>
      <w:pPr>
        <w:jc w:val="both"/>
      </w:pPr>
      <w:r>
        <w:rPr>
          <w:b w:val="0"/>
          <w:i w:val="0"/>
        </w:rPr>
        <w:t>Huskinson &amp; Brown v. Wolf (2004) 32 Cal.4th 453, 458; Maglica v. Maglica (1998) 66 Cal.App.4th 442; Hedging Concepts v. First Alliance Mortg. (1996) 41 Cal.App.4th 1410, 1419.</w:t>
      </w:r>
    </w:p>
    <w:p>
      <w:pPr>
        <w:spacing w:before="240" w:after="120"/>
      </w:pPr>
      <w:r>
        <w:rPr>
          <w:b/>
          <w:sz w:val="22"/>
        </w:rPr>
        <w:t>6. Late Fees as Liquidated Damages</w:t>
      </w:r>
    </w:p>
    <w:p>
      <w:pPr>
        <w:jc w:val="both"/>
      </w:pPr>
      <w:r>
        <w:rPr>
          <w:b w:val="0"/>
          <w:i w:val="0"/>
        </w:rPr>
        <w:t>Garrett v. Coast &amp; Southern Fed. Sav. &amp; Loan (1973) 9 Cal.3d 731, 738–740; Beasley v. Wells Fargo Bank (1991) 235 Cal.App.3d 1383.</w:t>
      </w:r>
    </w:p>
    <w:p>
      <w:pPr>
        <w:spacing w:before="240" w:after="120"/>
      </w:pPr>
      <w:r>
        <w:rPr>
          <w:b/>
          <w:sz w:val="22"/>
        </w:rPr>
        <w:t>7. Authority of Corporate Officer — Erica Garcia as VP Finance</w:t>
      </w:r>
    </w:p>
    <w:p>
      <w:pPr>
        <w:jc w:val="both"/>
      </w:pPr>
      <w:r>
        <w:rPr>
          <w:b w:val="0"/>
          <w:i w:val="0"/>
        </w:rPr>
        <w:t>Cal. Corp. Code § 313 (instrument signed by VP binding as matter of law); Snukal v. Flightways Mfg., Inc. (2000) 23 Cal.4th 754, 782; Memorial Hospitals Assn. v. Randol (1995) 38 Cal.App.4th 1300, 1308.</w:t>
      </w:r>
    </w:p>
    <w:p>
      <w:pPr>
        <w:spacing w:before="240" w:after="120"/>
      </w:pPr>
      <w:r>
        <w:rPr>
          <w:b/>
          <w:sz w:val="22"/>
        </w:rPr>
        <w:t>8. Course of Dealing, Acceptance, and Modification — 27 Months of Paid Performance</w:t>
      </w:r>
    </w:p>
    <w:p>
      <w:pPr>
        <w:jc w:val="both"/>
      </w:pPr>
      <w:r>
        <w:rPr>
          <w:b w:val="0"/>
          <w:i w:val="0"/>
        </w:rPr>
        <w:t>Cal. Comm. Code § 1303; Wagner v. Glendale Adventist Med. Ctr. (1989) 216 Cal.App.3d 1379, 1388; Employers Reinsurance Co. v. Superior Court (2008) 161 Cal.App.4th 906, 921.</w:t>
      </w:r>
    </w:p>
    <w:p>
      <w:pPr>
        <w:spacing w:before="240" w:after="120"/>
      </w:pPr>
      <w:r>
        <w:rPr>
          <w:b/>
          <w:sz w:val="22"/>
        </w:rPr>
        <w:t>9. Dual Waiver of Right to Object — Weekly (30-day) + Monthly (60-day)</w:t>
      </w:r>
    </w:p>
    <w:p>
      <w:pPr>
        <w:jc w:val="both"/>
      </w:pPr>
      <w:r>
        <w:rPr>
          <w:b w:val="0"/>
          <w:i w:val="0"/>
        </w:rPr>
        <w:t>Technijian sent ~140 weekly zero-dollar invoices with full ticket detail and 30-day dispute windows (zero disputes), plus monthly invoices subject to T&amp;C § 3.01's 60-day objection window (zero objections). Either waiver alone bars challenge; both combined render every ticketed hour undisputable as a matter of contract. Cobb v. Pacific Mut. Life Ins. Co. (1935) 4 Cal.2d 565, 573; Gleason v. Klamer (1980) 103 Cal.App.3d 782, 787; Trafton v. Youngblood (1968) 69 Cal.2d 17, 25; Cal. Comm. Code §§ 1303, 2607(3)(a); Pollard v. Saxe &amp; Yolles Dev. Co. (1974) 12 Cal.3d 374, 380.</w:t>
      </w:r>
    </w:p>
    <w:p>
      <w:pPr>
        <w:spacing w:before="240" w:after="120"/>
      </w:pPr>
      <w:r>
        <w:rPr>
          <w:b/>
          <w:sz w:val="22"/>
        </w:rPr>
        <w:t>10. Continued Performance After Termination — Not a Waiver</w:t>
      </w:r>
    </w:p>
    <w:p>
      <w:pPr>
        <w:jc w:val="both"/>
      </w:pPr>
      <w:r>
        <w:rPr>
          <w:b w:val="0"/>
          <w:i w:val="0"/>
        </w:rPr>
        <w:t>DRG/Beverly Hills v. Chopstix Dim Sum Cafe (1994) 30 Cal.App.4th 54, 60; Salyer Grain &amp; Milling v. Henson (1970) 13 Cal.App.3d 493, 501; Wind Dancer Production v. Walt Disney (2017) 10 Cal.App.5th 56, 78.</w:t>
      </w:r>
    </w:p>
    <w:p>
      <w:pPr>
        <w:spacing w:before="240" w:after="120"/>
      </w:pPr>
      <w:r>
        <w:rPr>
          <w:b/>
          <w:sz w:val="22"/>
        </w:rPr>
        <w:t>11. Attorneys' Fees via T&amp;C § 5.02 Indemnity + Cal. Civ. Code § 1717 Reciprocity</w:t>
      </w:r>
    </w:p>
    <w:p>
      <w:pPr>
        <w:jc w:val="both"/>
      </w:pPr>
      <w:r>
        <w:rPr>
          <w:b w:val="0"/>
          <w:i w:val="0"/>
        </w:rPr>
        <w:t>T&amp;C § 5.02 provides that Vintage Design shall indemnify Technijian for attorneys' fees incurred as a result of "any failure by Client…to comply with the terms of this Agreement." Non-payment of the cancellation fee is such a failure. Cal. Civ. Code § 1717 renders the one-way indemnity reciprocal. Santisas v. Goodin (1998) 17 Cal.4th 599, 610–611; Hsu v. Abbara (1995) 9 Cal.4th 863, 871; PLCM Group v. Drexler (2000) 22 Cal.4th 1084, 1095; Moshonov v. Walsh (2000) 22 Cal.4th 771, 776; Advanced Micro Devices v. Intel (1994) 9 Cal.4th 362, 375–376; AAA Commercial Rule R-47(d)(ii).</w:t>
      </w:r>
    </w:p>
    <w:p>
      <w:pPr>
        <w:spacing w:before="240" w:after="120"/>
      </w:pPr>
      <w:r>
        <w:rPr>
          <w:b/>
          <w:sz w:val="22"/>
        </w:rPr>
        <w:t>12. Prejudgment Interest (§§ 3287, 3289(b))</w:t>
      </w:r>
    </w:p>
    <w:p>
      <w:pPr>
        <w:jc w:val="both"/>
      </w:pPr>
      <w:r>
        <w:rPr>
          <w:b w:val="0"/>
          <w:i w:val="0"/>
        </w:rPr>
        <w:t>Cal. Civ. Code §§ 3287(a), 3289(b); Wisper Corp. v. California Commerce Bank (1996) 49 Cal.App.4th 948, 958–960; North Oakland Med. Clinic v. Rogers (1998) 65 Cal.App.4th 824, 829–830; Continental Heller Corp. v. Amtech Mech. Services (1997) 53 Cal.App.4th 500, 511.</w:t>
      </w:r>
    </w:p>
    <w:p>
      <w:pPr>
        <w:spacing w:before="240" w:after="120"/>
      </w:pPr>
      <w:r>
        <w:rPr>
          <w:b/>
          <w:sz w:val="22"/>
        </w:rPr>
        <w:t>13. AAA Commercial Arbitration — Enforceability and Scope</w:t>
      </w:r>
    </w:p>
    <w:p>
      <w:pPr>
        <w:jc w:val="both"/>
      </w:pPr>
      <w:r>
        <w:rPr>
          <w:b w:val="0"/>
          <w:i w:val="0"/>
        </w:rPr>
        <w:t>AT&amp;T Mobility v. Concepcion (2011) 563 U.S. 333; Pinnacle Museum Tower Assn. v. Pinnacle Market Development (2012) 55 Cal.4th 223; Moncharsh v. Heily &amp; Blase (1992) 3 Cal.4th 1; Sandquist v. Lebo Automotive (2016) 1 Cal.5th 233; CCP §§ 1286, 1286.2.</w:t>
      </w:r>
    </w:p>
    <w:p>
      <w:pPr>
        <w:spacing w:before="240" w:after="120"/>
      </w:pPr>
      <w:r>
        <w:rPr>
          <w:b/>
          <w:sz w:val="22"/>
        </w:rPr>
        <w:t>14. Pleading Amendment / Relation Back / Misnomer</w:t>
      </w:r>
    </w:p>
    <w:p>
      <w:pPr>
        <w:jc w:val="both"/>
      </w:pPr>
      <w:r>
        <w:rPr>
          <w:b w:val="0"/>
          <w:i w:val="0"/>
        </w:rPr>
        <w:t>Only a minor "Delaware LLC → California corporation" caption correction is needed under AAA Rule R-6. Hawkins v. Pacific Coast Bldg. Prods. (2004) 124 Cal.App.4th 1497, 1503–1504; Mayberry v. Coca-Cola Bottling Co. (1966) 244 Cal.App.2d 350, 352; Diliberti v. Stage Call Corp. (1992) 4 Cal.App.4th 1468; Garrett v. Crown Coach Corp. (1968) 259 Cal.App.2d 647, 650–651.</w:t>
      </w:r>
    </w:p>
    <w:p>
      <w:pPr>
        <w:spacing w:before="240" w:after="120"/>
      </w:pPr>
      <w:r>
        <w:rPr>
          <w:b/>
          <w:sz w:val="22"/>
        </w:rPr>
        <w:t>15. Unconscionability — Anticipated Defense</w:t>
      </w:r>
    </w:p>
    <w:p>
      <w:pPr>
        <w:jc w:val="both"/>
      </w:pPr>
      <w:r>
        <w:rPr>
          <w:b w:val="0"/>
          <w:i w:val="0"/>
        </w:rPr>
        <w:t>Armendariz v. Foundation Health Psychcare (2000) 24 Cal.4th 83, 113–114; Sanchez v. Valencia Holding (2015) 61 Cal.4th 899, 910–911; Pinnacle Museum Tower, supra, 55 Cal.4th at 246–247; Baltazar v. Forever 21 (2016) 62 Cal.4th 1237, 1244.</w:t>
      </w:r>
    </w:p>
    <w:p>
      <w:pPr>
        <w:spacing w:before="240" w:after="120"/>
      </w:pPr>
      <w:r>
        <w:rPr>
          <w:b/>
          <w:sz w:val="22"/>
        </w:rPr>
        <w:t>16. Confidentiality of Settlement Communications</w:t>
      </w:r>
    </w:p>
    <w:p>
      <w:pPr>
        <w:jc w:val="both"/>
      </w:pPr>
      <w:r>
        <w:rPr>
          <w:b w:val="0"/>
          <w:i w:val="0"/>
        </w:rPr>
        <w:t>Cal. Evid. Code §§ 1119, 1152; Fed. R. Evid. 408; Cassel v. Superior Court (2011) 51 Cal.4th 113; Foxgate Homeowners' Assn. v. Bramalea California (2001) 26 Cal.4th 1, 14.</w:t>
      </w:r>
    </w:p>
    <w:p>
      <w:pPr>
        <w:spacing w:before="240" w:after="120"/>
      </w:pPr>
      <w:r>
        <w:rPr>
          <w:b/>
          <w:sz w:val="22"/>
        </w:rPr>
        <w:t>17. Electronic Signatures / DocuSign (UETA)</w:t>
      </w:r>
    </w:p>
    <w:p>
      <w:pPr>
        <w:jc w:val="both"/>
      </w:pPr>
      <w:r>
        <w:rPr>
          <w:b w:val="0"/>
          <w:i w:val="0"/>
        </w:rPr>
        <w:t>Cal. Civ. Code §§ 1633.7(a), (d), 1633.9(a); 15 U.S.C. § 7001(a) (federal E-SIGN); Fabian v. Renovate America (2019) 42 Cal.App.5th 1062, 1066–1069; J.B.B. Investment Partners v. Fair (2014) 232 Cal.App.4th 974; Ruiz v. Moss Bros. Auto Group (2014) 232 Cal.App.4th 836, 844. DocuSign Envelope B679C550 audit trail = prima facie authentication.</w:t>
      </w:r>
    </w:p>
    <w:p>
      <w:pPr>
        <w:spacing w:before="240" w:after="120"/>
      </w:pPr>
      <w:r>
        <w:rPr>
          <w:b/>
          <w:sz w:val="22"/>
        </w:rPr>
        <w:t>18. Parol Evidence Rule &amp; Integration Clause</w:t>
      </w:r>
    </w:p>
    <w:p>
      <w:pPr>
        <w:jc w:val="both"/>
      </w:pPr>
      <w:r>
        <w:rPr>
          <w:b w:val="0"/>
          <w:i w:val="0"/>
        </w:rPr>
        <w:t>Cal. Code Civ. Proc. § 1856(a); Casa Herrera v. Beydoun (2004) 32 Cal.4th 336, 343–344; Banco do Brasil v. Latian (1991) 234 Cal.App.3d 973, 1001–1002; EPA Real Estate Partnership v. Kang (1992) 12 Cal.App.4th 171, 175–176; Riverisland Cold Storage v. Fresno-Madera PCA (2013) 55 Cal.4th 1169.</w:t>
      </w:r>
    </w:p>
    <w:p>
      <w:pPr>
        <w:spacing w:before="240" w:after="120"/>
      </w:pPr>
      <w:r>
        <w:rPr>
          <w:b/>
          <w:sz w:val="22"/>
        </w:rPr>
        <w:t>19. Contract Interpretation — Plain Meaning and Construction</w:t>
      </w:r>
    </w:p>
    <w:p>
      <w:pPr>
        <w:jc w:val="both"/>
      </w:pPr>
      <w:r>
        <w:rPr>
          <w:b w:val="0"/>
          <w:i w:val="0"/>
        </w:rPr>
        <w:t>Cal. Civ. Code §§ 1636, 1638, 1639, 1641; Pacific Gas &amp; E. v. G.W. Thomas Drayage &amp; Rigging (1968) 69 Cal.2d 33; City of Atascadero v. Merrill Lynch (1998) 68 Cal.App.4th 445, 473; Powerine Oil v. Superior Court (2005) 37 Cal.4th 377, 390–391; MacKinnon v. Truck Ins. Exchange (2003) 31 Cal.4th 635, 648.</w:t>
      </w:r>
    </w:p>
    <w:p>
      <w:pPr>
        <w:spacing w:before="240" w:after="120"/>
      </w:pPr>
      <w:r>
        <w:rPr>
          <w:b/>
          <w:sz w:val="22"/>
        </w:rPr>
        <w:t>20. General Damages and Certainty (§§ 3300, 3301)</w:t>
      </w:r>
    </w:p>
    <w:p>
      <w:pPr>
        <w:jc w:val="both"/>
      </w:pPr>
      <w:r>
        <w:rPr>
          <w:b w:val="0"/>
          <w:i w:val="0"/>
        </w:rPr>
        <w:t>Cal. Civ. Code §§ 3300, 3301; Lewis Jorge Construction v. Pomona USD (2004) 34 Cal.4th 960, 968–970; Sargon Enterprises v. USC (2012) 55 Cal.4th 747, 773–775; Toscano v. Greene Music (2004) 124 Cal.App.4th 685, 694 (liquidated damages cures certainty requirement).</w:t>
      </w:r>
    </w:p>
    <w:p>
      <w:pPr>
        <w:spacing w:before="240" w:after="120"/>
      </w:pPr>
      <w:r>
        <w:rPr>
          <w:b/>
          <w:sz w:val="22"/>
        </w:rPr>
        <w:t>21. Statute of Limitations — Written Contracts</w:t>
      </w:r>
    </w:p>
    <w:p>
      <w:pPr>
        <w:jc w:val="both"/>
      </w:pPr>
      <w:r>
        <w:rPr>
          <w:b w:val="0"/>
          <w:i w:val="0"/>
        </w:rPr>
        <w:t>Cal. Code Civ. Proc. § 337 (4 years); Fox v. Ethicon Endo-Surgery (2005) 35 Cal.4th 797, 806; Howard v. County of San Diego (2010) 184 Cal.App.4th 1422, 1431. Breach accrued 7/27/2025; Demand filed 10/23/2025 — well within SOL.</w:t>
      </w:r>
    </w:p>
    <w:p>
      <w:pPr>
        <w:spacing w:before="240" w:after="120"/>
      </w:pPr>
      <w:r>
        <w:rPr>
          <w:b/>
          <w:sz w:val="22"/>
        </w:rPr>
        <w:t>22. Anticipatory Breach / Repudiation / Total Breach</w:t>
      </w:r>
    </w:p>
    <w:p>
      <w:pPr>
        <w:jc w:val="both"/>
      </w:pPr>
      <w:r>
        <w:rPr>
          <w:b w:val="0"/>
          <w:i w:val="0"/>
        </w:rPr>
        <w:t>Taylor v. Johnston (1975) 15 Cal.3d 130, 137; Central Valley General Hospital v. Smith (2008) 162 Cal.App.4th 501, 514–515; Romano v. Rockwell Internat. (1996) 14 Cal.4th 479, 488–490; Brown v. Grimes (2011) 192 Cal.App.4th 265, 277.</w:t>
      </w:r>
    </w:p>
    <w:p>
      <w:pPr>
        <w:spacing w:before="240" w:after="120"/>
      </w:pPr>
      <w:r>
        <w:rPr>
          <w:b/>
          <w:sz w:val="22"/>
        </w:rPr>
        <w:t>23. Evidence — Business Records (Ticketing &amp; Invoices)</w:t>
      </w:r>
    </w:p>
    <w:p>
      <w:pPr>
        <w:jc w:val="both"/>
      </w:pPr>
      <w:r>
        <w:rPr>
          <w:b w:val="0"/>
          <w:i w:val="0"/>
        </w:rPr>
        <w:t>Cal. Evid. Code §§ 1271, 1552, 1553; Jazayeri v. Mao (2009) 174 Cal.App.4th 301, 324; Aguimatang v. California State Lottery (1991) 234 Cal.App.3d 769, 797–798; AAA Commercial Rule R-34.</w:t>
      </w:r>
    </w:p>
    <w:p>
      <w:pPr>
        <w:spacing w:before="240" w:after="120"/>
      </w:pPr>
      <w:r>
        <w:rPr>
          <w:b/>
          <w:sz w:val="22"/>
        </w:rPr>
        <w:t>24. Ratification by Acceptance of Benefits — 27-Month Paid Performance</w:t>
      </w:r>
    </w:p>
    <w:p>
      <w:pPr>
        <w:jc w:val="both"/>
      </w:pPr>
      <w:r>
        <w:rPr>
          <w:b w:val="0"/>
          <w:i w:val="0"/>
        </w:rPr>
        <w:t>Rakestraw v. Rodrigues (1972) 8 Cal.3d 67, 73; Reusche v. California Pacific Title Ins. (1965) 231 Cal.App.2d 731, 737; Pasadena Medi-Center Associates v. Superior Court (1973) 9 Cal.3d 773, 779–780; Common Wealth Ins. Systems v. Kersten (1974) 40 Cal.App.3d 1014, 1026.</w:t>
      </w:r>
    </w:p>
    <w:p>
      <w:pPr>
        <w:spacing w:before="240" w:after="120"/>
      </w:pPr>
      <w:r>
        <w:rPr>
          <w:b/>
          <w:sz w:val="22"/>
        </w:rPr>
        <w:t>25. Statute of Frauds — Satisfied</w:t>
      </w:r>
    </w:p>
    <w:p>
      <w:pPr>
        <w:jc w:val="both"/>
      </w:pPr>
      <w:r>
        <w:rPr>
          <w:b w:val="0"/>
          <w:i w:val="0"/>
        </w:rPr>
        <w:t>Cal. Civ. Code § 1624(a)(1); Sterling v. Taylor (2007) 40 Cal.4th 757, 766; Secrest v. Security National Mortgage (2008) 167 Cal.App.4th 544, 552. Writing + DocuSign signature satisfies.</w:t>
      </w:r>
    </w:p>
    <w:p>
      <w:pPr>
        <w:spacing w:before="240" w:after="120"/>
      </w:pPr>
      <w:r>
        <w:rPr>
          <w:b/>
          <w:sz w:val="22"/>
        </w:rPr>
        <w:t>26. Implied Covenant of Good Faith and Fair Dealing</w:t>
      </w:r>
    </w:p>
    <w:p>
      <w:pPr>
        <w:jc w:val="both"/>
      </w:pPr>
      <w:r>
        <w:rPr>
          <w:b w:val="0"/>
          <w:i w:val="0"/>
        </w:rPr>
        <w:t>Guz v. Bechtel National (2000) 24 Cal.4th 317, 349; Carma Developers (Cal.) v. Marathon Development California (1992) 2 Cal.4th 342, 371–374; Racine &amp; Laramie v. Dept. of Parks &amp; Recreation (1992) 11 Cal.App.4th 1026, 1032.</w:t>
      </w:r>
    </w:p>
    <w:p>
      <w:pPr>
        <w:spacing w:before="240" w:after="120"/>
      </w:pPr>
      <w:r>
        <w:rPr>
          <w:b/>
          <w:sz w:val="22"/>
        </w:rPr>
        <w:t>27. Arbitrator's Authority to Award Fees &amp; Costs</w:t>
      </w:r>
    </w:p>
    <w:p>
      <w:pPr>
        <w:jc w:val="both"/>
      </w:pPr>
      <w:r>
        <w:rPr>
          <w:b w:val="0"/>
          <w:i w:val="0"/>
        </w:rPr>
        <w:t>Moshonov v. Walsh (2000) 22 Cal.4th 771, 776; Advanced Micro Devices v. Intel (1994) 9 Cal.4th 362, 375–376; DiMarco v. Chaney (1995) 31 Cal.App.4th 1809, 1815–1816; Corona v. Amherst Partners (2003) 107 Cal.App.4th 701; AAA Commercial Rule R-47(d)(ii).</w:t>
      </w:r>
    </w:p>
    <w:p>
      <w:pPr>
        <w:spacing w:before="240" w:after="120"/>
      </w:pPr>
      <w:r>
        <w:rPr>
          <w:b/>
          <w:sz w:val="22"/>
        </w:rPr>
        <w:t>28. Discovery in Arbitration</w:t>
      </w:r>
    </w:p>
    <w:p>
      <w:pPr>
        <w:jc w:val="both"/>
      </w:pPr>
      <w:r>
        <w:rPr>
          <w:b w:val="0"/>
          <w:i w:val="0"/>
        </w:rPr>
        <w:t>Cal. Code Civ. Proc. § 1283.05; AAA Commercial Rule R-22; Berglund v. Arthroscopic &amp; Laser Surgery Ctr. of San Diego (2008) 44 Cal.4th 528.</w:t>
      </w:r>
    </w:p>
    <w:p>
      <w:pPr>
        <w:spacing w:before="240" w:after="120"/>
      </w:pPr>
      <w:r>
        <w:rPr>
          <w:b/>
          <w:sz w:val="22"/>
        </w:rPr>
        <w:t>29. Freedom of Contract — Sophisticated Commercial Parties</w:t>
      </w:r>
    </w:p>
    <w:p>
      <w:pPr>
        <w:jc w:val="both"/>
      </w:pPr>
      <w:r>
        <w:rPr>
          <w:b w:val="0"/>
          <w:i w:val="0"/>
        </w:rPr>
        <w:t>Appalachian Ins. Co. v. McDonnell Douglas Corp. (1989) 214 Cal.App.3d 1, 12; Powerine Oil v. Superior Court (2005) 37 Cal.4th 377, 391; Gaggero v. Yura (2003) 108 Cal.App.4th 884, 892; Badie v. Bank of America (1998) 67 Cal.App.4th 779, 802.</w:t>
      </w:r>
    </w:p>
    <w:p>
      <w:pPr>
        <w:spacing w:before="240" w:after="120"/>
      </w:pPr>
      <w:r>
        <w:rPr>
          <w:b/>
          <w:sz w:val="22"/>
        </w:rPr>
        <w:t>30. Post-Judgment Interest on Confirmed Arbitration Award</w:t>
      </w:r>
    </w:p>
    <w:p>
      <w:pPr>
        <w:jc w:val="both"/>
      </w:pPr>
      <w:r>
        <w:rPr>
          <w:b w:val="0"/>
          <w:i w:val="0"/>
        </w:rPr>
        <w:t>Cal. Code Civ. Proc. §§ 685.010(a), 1286, 1287.4; Britz, Inc. v. Alfa-Laval Food &amp; Dairy Co. (1995) 34 Cal.App.4th 1085, 1107; Pierotti v. Torian (2000) 81 Cal.App.4th 17, 28.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8080"/>
        <w:sz w:val="16"/>
      </w:rPr>
      <w:t>Case Law Research Memorandum — Technijian v. Vintage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