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Addendum — Statement of Work</w:t>
      </w:r>
    </w:p>
    <w:p>
      <w:pPr>
        <w:spacing w:after="400"/>
        <w:jc w:val="center"/>
      </w:pPr>
      <w:r>
        <w:rPr>
          <w:rFonts w:ascii="Open Sans" w:cs="Open Sans" w:eastAsia="Open Sans" w:hAnsi="Open Sans"/>
          <w:color w:val="59595B"/>
          <w:sz w:val="24"/>
          <w:szCs w:val="24"/>
        </w:rPr>
        <w:t xml:space="preserve">Wireless Access Point Deployment — American Fundstars Financial Group LLC</w:t>
      </w:r>
    </w:p>
    <w:p>
      <w:pPr>
        <w:pBdr>
          <w:bottom w:val="single" w:color="F67D4B" w:sz="2"/>
        </w:pBdr>
        <w:spacing w:after="100" w:before="100"/>
      </w:pPr>
    </w:p>
    <w:p>
      <w:pPr>
        <w:spacing w:after="600"/>
      </w:pPr>
      <w:r>
        <w:rPr>
          <w:rFonts w:ascii="Open Sans" w:cs="Open Sans" w:eastAsia="Open Sans" w:hAnsi="Open Sans"/>
          <w:color w:val="59595B"/>
          <w:sz w:val="22"/>
          <w:szCs w:val="22"/>
        </w:rPr>
        <w:t xml:space="preserve"/>
      </w:r>
    </w:p>
    <w:p>
      <w:pPr>
        <w:spacing w:after="200"/>
        <w:jc w:val="center"/>
      </w:pPr>
      <w:r>
        <w:rPr>
          <w:rFonts w:ascii="Open Sans" w:cs="Open Sans" w:eastAsia="Open Sans" w:hAnsi="Open Sans"/>
          <w:color w:val="59595B"/>
          <w:sz w:val="22"/>
          <w:szCs w:val="22"/>
        </w:rPr>
        <w:t xml:space="preserve">March 31, 2026</w:t>
      </w:r>
    </w:p>
    <w:p>
      <w:pPr>
        <w:spacing w:after="4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ADDENDUM — STATEMENT OF WORK</w:t>
      </w:r>
    </w:p>
    <w:p>
      <w:r>
        <w:rPr>
          <w:rFonts w:ascii="Open Sans" w:cs="Open Sans" w:eastAsia="Open Sans" w:hAnsi="Open Sans"/>
          <w:b/>
          <w:bCs/>
          <w:color w:val="1A1A2E"/>
          <w:sz w:val="22"/>
          <w:szCs w:val="22"/>
        </w:rPr>
        <w:t xml:space="preserve">SOW Number: </w:t>
      </w:r>
      <w:r>
        <w:rPr>
          <w:rFonts w:ascii="Open Sans" w:cs="Open Sans" w:eastAsia="Open Sans" w:hAnsi="Open Sans"/>
          <w:color w:val="59595B"/>
          <w:sz w:val="22"/>
          <w:szCs w:val="22"/>
        </w:rPr>
        <w:t xml:space="preserve">SOW-AFFG-002</w:t>
      </w:r>
    </w:p>
    <w:p>
      <w:r>
        <w:rPr>
          <w:rFonts w:ascii="Open Sans" w:cs="Open Sans" w:eastAsia="Open Sans" w:hAnsi="Open Sans"/>
          <w:b/>
          <w:bCs/>
          <w:color w:val="1A1A2E"/>
          <w:sz w:val="22"/>
          <w:szCs w:val="22"/>
        </w:rPr>
        <w:t xml:space="preserve">Parent SOW: </w:t>
      </w:r>
      <w:r>
        <w:rPr>
          <w:rFonts w:ascii="Open Sans" w:cs="Open Sans" w:eastAsia="Open Sans" w:hAnsi="Open Sans"/>
          <w:color w:val="59595B"/>
          <w:sz w:val="22"/>
          <w:szCs w:val="22"/>
        </w:rPr>
        <w:t xml:space="preserve">SOW-AFFG-001 (Sophos SF V-2C4 Virtual Firewall &amp; Edge Appliance Deployment)</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March 31, 2026</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Addendum Statement of Work (“SOW”)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(“Technijian”)</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American Fundstars Financial Group LLC (“Client”)</w:t>
      </w:r>
    </w:p>
    <w:p>
      <w:r>
        <w:rPr>
          <w:rFonts w:ascii="Open Sans" w:cs="Open Sans" w:eastAsia="Open Sans" w:hAnsi="Open Sans"/>
          <w:color w:val="59595B"/>
          <w:sz w:val="22"/>
          <w:szCs w:val="22"/>
        </w:rPr>
        <w:t xml:space="preserve">1 Park Plaza, Suite 210</w:t>
      </w:r>
    </w:p>
    <w:p>
      <w:r>
        <w:rPr>
          <w:rFonts w:ascii="Open Sans" w:cs="Open Sans" w:eastAsia="Open Sans" w:hAnsi="Open Sans"/>
          <w:color w:val="59595B"/>
          <w:sz w:val="22"/>
          <w:szCs w:val="22"/>
        </w:rPr>
        <w:t xml:space="preserve">Irvine, California 92618</w:t>
      </w:r>
    </w:p>
    <w:p>
      <w:r>
        <w:rPr>
          <w:rFonts w:ascii="Open Sans" w:cs="Open Sans" w:eastAsia="Open Sans" w:hAnsi="Open Sans"/>
          <w:b/>
          <w:bCs/>
          <w:color w:val="1A1A2E"/>
          <w:sz w:val="22"/>
          <w:szCs w:val="22"/>
        </w:rPr>
        <w:t xml:space="preserve">Primary Contact: </w:t>
      </w:r>
      <w:r>
        <w:rPr>
          <w:rFonts w:ascii="Open Sans" w:cs="Open Sans" w:eastAsia="Open Sans" w:hAnsi="Open Sans"/>
          <w:color w:val="59595B"/>
          <w:sz w:val="22"/>
          <w:szCs w:val="22"/>
        </w:rPr>
        <w:t xml:space="preserve">Iris Liu</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 BACKGROUND &amp; PURPOSE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During the discovery phase of SOW-AFFG-001 (Sophos SF V-2C4 Virtual Firewall &amp; Edge Appliance Deployment), it was identified that the existing router at Client’s primary location also functions as the sole wireless access point (Wi-Fi). Upon deployment of the Sophos firewall, the router’s Wi-Fi functionality must be disabled to ensure all traffic is properly routed through the Sophos security inspection engine and to eliminate unmonitored wireless ingress/egress points.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Disabling the router’s built-in Wi-Fi without providing a replacement access point would leave Client without wireless network connectivity. This addendum provides for the procurement and deployment of a dedicated, enterprise-grade wireless access point to restore Wi-Fi service under the security umbrella of the new Sophos firewall.</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SOW presents three access point options for Client selection, each evaluated against AFFG’s regulatory compliance requirements.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2. COMPLIANCE REQUIREMENTS FOR WIRELESS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As established in SOW-AFFG-001, AFFG is subject to SEC, FINRA, FTC, HIPAA, SOC 2, PCI-DSS 4.0, and GDPR compliance frameworks. Each imposes specific requirements on wireless network infrastructure: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2.1 Wireless-Specific Compliance Controls</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Framework</w:t>
            </w:r>
          </w:p>
        </w:tc>
        <w:tc>
          <w:tcPr>
            <w:tcW w:type="dxa" w:w="33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Wireless Requirement</w:t>
            </w:r>
          </w:p>
        </w:tc>
        <w:tc>
          <w:tcPr>
            <w:tcW w:type="dxa" w:w="42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Control</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SEC Reg S-P (2024)</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Encrypted wireless transmission of NPI/PII</w:t>
            </w:r>
          </w:p>
        </w:tc>
        <w:tc>
          <w:tcPr>
            <w:tcW w:type="dxa" w:w="4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WPA3-Enterprise or WPA3-SAE minimum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FINRA Rule 4370</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Wireless infrastructure in BCP documentation</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Managed AP with monitoring and alerting</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FINRA Rule 3110</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Supervisory control over wireless access</w:t>
            </w:r>
          </w:p>
        </w:tc>
        <w:tc>
          <w:tcPr>
            <w:tcW w:type="dxa" w:w="4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Centralized management with audit logging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FTC Safeguards</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Encryption of customer information in transit</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WPA3 with AES-256; rogue AP detection</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HIPAA §164.312(e)</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Transmission security for ePHI</w:t>
            </w:r>
          </w:p>
        </w:tc>
        <w:tc>
          <w:tcPr>
            <w:tcW w:type="dxa" w:w="4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WPA3-Enterprise; network segmentation via VLAN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SOC 2 CC6.1</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Logical access controls for wireless networks</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802.1X authentication; RBAC; session logging</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PCI-DSS 4.0 §11.2</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Wireless analyzer scans / rogue AP detection</w:t>
            </w:r>
          </w:p>
        </w:tc>
        <w:tc>
          <w:tcPr>
            <w:tcW w:type="dxa" w:w="4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Built-in WIDS/WIPS or Sophos Central integration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PCI-DSS 4.0 §2.3</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Wireless encryption standards</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WPA3 mandatory; WPA2-TKIP prohibited</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GDPR Art. 32</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Appropriate technical measures for data in transit</w:t>
            </w:r>
          </w:p>
        </w:tc>
        <w:tc>
          <w:tcPr>
            <w:tcW w:type="dxa" w:w="4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WPA3; AP management access restricted and logged</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2.2 Critical Compliance Capabilities</w:t>
      </w:r>
    </w:p>
    <w:p>
      <w:pPr>
        <w:spacing w:after="120"/>
      </w:pPr>
      <w:r>
        <w:rPr>
          <w:rFonts w:ascii="Open Sans" w:cs="Open Sans" w:eastAsia="Open Sans" w:hAnsi="Open Sans"/>
          <w:color w:val="59595B"/>
          <w:sz w:val="22"/>
          <w:szCs w:val="22"/>
        </w:rPr>
        <w:t xml:space="preserve"/>
      </w:r>
    </w:p>
    <w:p>
      <w:pPr>
        <w:pStyle w:val="ListParagraph"/>
        <w:numPr>
          <w:ilvl w:val="0"/>
          <w:numId w:val="2"/>
        </w:numPr>
      </w:pPr>
      <w:r>
        <w:rPr>
          <w:rFonts w:ascii="Open Sans" w:cs="Open Sans" w:eastAsia="Open Sans" w:hAnsi="Open Sans"/>
          <w:color w:val="59595B"/>
          <w:sz w:val="22"/>
          <w:szCs w:val="22"/>
        </w:rPr>
        <w:t xml:space="preserve">WPA3-Enterprise or WPA3-SAE encryption (mandatory across all frameworks)</w:t>
      </w:r>
    </w:p>
    <w:p>
      <w:pPr>
        <w:pStyle w:val="ListParagraph"/>
        <w:numPr>
          <w:ilvl w:val="0"/>
          <w:numId w:val="2"/>
        </w:numPr>
      </w:pPr>
      <w:r>
        <w:rPr>
          <w:rFonts w:ascii="Open Sans" w:cs="Open Sans" w:eastAsia="Open Sans" w:hAnsi="Open Sans"/>
          <w:color w:val="59595B"/>
          <w:sz w:val="22"/>
          <w:szCs w:val="22"/>
        </w:rPr>
        <w:t xml:space="preserve">Centralized cloud management with audit logging (FINRA 3110, SOC 2)</w:t>
      </w:r>
    </w:p>
    <w:p>
      <w:pPr>
        <w:pStyle w:val="ListParagraph"/>
        <w:numPr>
          <w:ilvl w:val="0"/>
          <w:numId w:val="2"/>
        </w:numPr>
      </w:pPr>
      <w:r>
        <w:rPr>
          <w:rFonts w:ascii="Open Sans" w:cs="Open Sans" w:eastAsia="Open Sans" w:hAnsi="Open Sans"/>
          <w:color w:val="59595B"/>
          <w:sz w:val="22"/>
          <w:szCs w:val="22"/>
        </w:rPr>
        <w:t xml:space="preserve">WIDS/WIPS rogue access point detection (PCI-DSS 4.0 §11.2)</w:t>
      </w:r>
    </w:p>
    <w:p>
      <w:pPr>
        <w:pStyle w:val="ListParagraph"/>
        <w:numPr>
          <w:ilvl w:val="0"/>
          <w:numId w:val="2"/>
        </w:numPr>
      </w:pPr>
      <w:r>
        <w:rPr>
          <w:rFonts w:ascii="Open Sans" w:cs="Open Sans" w:eastAsia="Open Sans" w:hAnsi="Open Sans"/>
          <w:color w:val="59595B"/>
          <w:sz w:val="22"/>
          <w:szCs w:val="22"/>
        </w:rPr>
        <w:t xml:space="preserve">VLAN support for network segmentation (HIPAA, PCI-DSS)</w:t>
      </w:r>
    </w:p>
    <w:p>
      <w:pPr>
        <w:pStyle w:val="ListParagraph"/>
        <w:numPr>
          <w:ilvl w:val="0"/>
          <w:numId w:val="2"/>
        </w:numPr>
      </w:pPr>
      <w:r>
        <w:rPr>
          <w:rFonts w:ascii="Open Sans" w:cs="Open Sans" w:eastAsia="Open Sans" w:hAnsi="Open Sans"/>
          <w:color w:val="59595B"/>
          <w:sz w:val="22"/>
          <w:szCs w:val="22"/>
        </w:rPr>
        <w:t xml:space="preserve">802.1X / RADIUS authentication support (SOC 2 CC6.1)</w:t>
      </w:r>
    </w:p>
    <w:p>
      <w:pPr>
        <w:pStyle w:val="ListParagraph"/>
        <w:numPr>
          <w:ilvl w:val="0"/>
          <w:numId w:val="2"/>
        </w:numPr>
      </w:pPr>
      <w:r>
        <w:rPr>
          <w:rFonts w:ascii="Open Sans" w:cs="Open Sans" w:eastAsia="Open Sans" w:hAnsi="Open Sans"/>
          <w:color w:val="59595B"/>
          <w:sz w:val="22"/>
          <w:szCs w:val="22"/>
        </w:rPr>
        <w:t xml:space="preserve">Encrypted management interface with role-based access (GDPR Art. 32)</w:t>
      </w:r>
    </w:p>
    <w:p>
      <w:pPr>
        <w:pStyle w:val="ListParagraph"/>
        <w:numPr>
          <w:ilvl w:val="0"/>
          <w:numId w:val="2"/>
        </w:numPr>
      </w:pPr>
      <w:r>
        <w:rPr>
          <w:rFonts w:ascii="Open Sans" w:cs="Open Sans" w:eastAsia="Open Sans" w:hAnsi="Open Sans"/>
          <w:color w:val="59595B"/>
          <w:sz w:val="22"/>
          <w:szCs w:val="22"/>
        </w:rPr>
        <w:t xml:space="preserve">Firmware update management and vulnerability patching (all frameworks)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3. ACCESS POINT OPTIONS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Technijian presents three access point options for Client consideration. Each has been evaluated for technical capability, compliance coverage, integration with the Sophos firewall deployed under SOW-AFFG-001, and total cost of ownership.</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Option A: Sophos AP6 420 (RECOMMENDED)</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Specification</w:t>
            </w:r>
          </w:p>
        </w:tc>
        <w:tc>
          <w:tcPr>
            <w:tcW w:type="dxa" w:w="61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Details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Model / SKU</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AP6 420 (AP420U00ZZPCNP)</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Wi-Fi Standard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Wi-Fi 6 (802.11ax)</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Bands</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Dual-Band (2.4 GHz + 5 GHz)</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MIMO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2x2:2</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Max Supported Devices</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Up to 100 concurrent clients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PoE Requirement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802.3af/at (standard PoE) — ~15W</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Management</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Sophos Central (cloud) — same console as Sophos firewall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MSRP (Hardware)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$260.00</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Annual Support License</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$13.00/year (optional — advance RMA + firmware updates)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Mandatory Subscription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None — AP functions without paid subscription</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Compliance Assessment — Sophos AP6 420</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Compliance Control</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Status</w:t>
            </w:r>
          </w:p>
        </w:tc>
        <w:tc>
          <w:tcPr>
            <w:tcW w:type="dxa" w:w="4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Notes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WPA3-Enterprise / WPA3-SAE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Full WPA3 support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Centralized Management + Audit Logging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Sophos Central — unified with firewall management</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WIDS/WIPS Rogue AP Detection</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Built-in via Sophos Central Wireless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VLAN / Network Segmentation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Full VLAN tagging and multiple SSID support</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802.1X / RADIUS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Enterprise authentication supported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Encrypted Management Interface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TLS-encrypted Sophos Central; RBAC</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Firmware Management</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Centralized firmware deployment via Sophos Central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Synchronized Security (Sophos Heartbeat)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Native integration — AP shares health status with firewall</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Overall Compliance Score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8/8 PASS</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Full compliance — best Sophos ecosystem integration</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Recommendation Rationale:</w:t>
      </w:r>
    </w:p>
    <w:p>
      <w:pPr>
        <w:pStyle w:val="ListParagraph"/>
        <w:numPr>
          <w:ilvl w:val="0"/>
          <w:numId w:val="3"/>
        </w:numPr>
      </w:pPr>
      <w:r>
        <w:rPr>
          <w:rFonts w:ascii="Open Sans" w:cs="Open Sans" w:eastAsia="Open Sans" w:hAnsi="Open Sans"/>
          <w:color w:val="59595B"/>
          <w:sz w:val="22"/>
          <w:szCs w:val="22"/>
        </w:rPr>
        <w:t xml:space="preserve">Native Sophos ecosystem integration — the AP6 420 is managed from the same Sophos Central console as the SF V-2C4 firewall deployed under SOW-AFFG-001</w:t>
      </w:r>
    </w:p>
    <w:p>
      <w:pPr>
        <w:pStyle w:val="ListParagraph"/>
        <w:numPr>
          <w:ilvl w:val="0"/>
          <w:numId w:val="3"/>
        </w:numPr>
      </w:pPr>
      <w:r>
        <w:rPr>
          <w:rFonts w:ascii="Open Sans" w:cs="Open Sans" w:eastAsia="Open Sans" w:hAnsi="Open Sans"/>
          <w:color w:val="59595B"/>
          <w:sz w:val="22"/>
          <w:szCs w:val="22"/>
        </w:rPr>
        <w:t xml:space="preserve">Synchronized Security (Heartbeat) — the AP shares endpoint health status with the firewall, enabling automatic isolation of compromised wireless clients</w:t>
      </w:r>
    </w:p>
    <w:p>
      <w:pPr>
        <w:pStyle w:val="ListParagraph"/>
        <w:numPr>
          <w:ilvl w:val="0"/>
          <w:numId w:val="3"/>
        </w:numPr>
      </w:pPr>
      <w:r>
        <w:rPr>
          <w:rFonts w:ascii="Open Sans" w:cs="Open Sans" w:eastAsia="Open Sans" w:hAnsi="Open Sans"/>
          <w:color w:val="59595B"/>
          <w:sz w:val="22"/>
          <w:szCs w:val="22"/>
        </w:rPr>
        <w:t xml:space="preserve">Unified compliance reporting — wireless logs, firewall logs, and security events in a single pane of glass for auditors</w:t>
      </w:r>
    </w:p>
    <w:p>
      <w:pPr>
        <w:pStyle w:val="ListParagraph"/>
        <w:numPr>
          <w:ilvl w:val="0"/>
          <w:numId w:val="3"/>
        </w:numPr>
      </w:pPr>
      <w:r>
        <w:rPr>
          <w:rFonts w:ascii="Open Sans" w:cs="Open Sans" w:eastAsia="Open Sans" w:hAnsi="Open Sans"/>
          <w:color w:val="59595B"/>
          <w:sz w:val="22"/>
          <w:szCs w:val="22"/>
        </w:rPr>
        <w:t xml:space="preserve">Lowest total cost of ownership — no mandatory subscription; optional $13/year support</w:t>
      </w:r>
    </w:p>
    <w:p>
      <w:pPr>
        <w:pStyle w:val="ListParagraph"/>
        <w:numPr>
          <w:ilvl w:val="0"/>
          <w:numId w:val="3"/>
        </w:numPr>
      </w:pPr>
      <w:r>
        <w:rPr>
          <w:rFonts w:ascii="Open Sans" w:cs="Open Sans" w:eastAsia="Open Sans" w:hAnsi="Open Sans"/>
          <w:color w:val="59595B"/>
          <w:sz w:val="22"/>
          <w:szCs w:val="22"/>
        </w:rPr>
        <w:t xml:space="preserve">Single-vendor accountability — simplifies incident response and audit evidence collection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Option B: Cisco Meraki CW9176I</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Specification</w:t>
            </w:r>
          </w:p>
        </w:tc>
        <w:tc>
          <w:tcPr>
            <w:tcW w:type="dxa" w:w="61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Details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Model / SKU</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CW9176I-RTG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Wi-Fi Standard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Wi-Fi 7 (802.11be)</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Bands</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Tri-Band (2.4 GHz + 5 GHz + 6 GHz)</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MIMO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4x4:4</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Max Supported Devices</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500+ concurrent clients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PoE Requirement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802.3bt (PoE++) required — ~35W</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Management</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Meraki Cloud Dashboard (separate platform from Sophos Central)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MSRP (Hardware)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$2,507.00</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Annual License (Mandatory)</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$150.00/year (Enterprise License — AP will not function without it)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Year 1 Total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$2,657.00</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Compliance Assessment — Cisco Meraki CW9176I</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Compliance Control</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Status</w:t>
            </w:r>
          </w:p>
        </w:tc>
        <w:tc>
          <w:tcPr>
            <w:tcW w:type="dxa" w:w="4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Notes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WPA3-Enterprise / WPA3-SAE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Full WPA3 support including 6 GHz band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Centralized Management + Audit Logging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Meraki Cloud Dashboard — separate console from Sophos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WIDS/WIPS Rogue AP Detection</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Built-in Air Marshal — industry-leading WIDS/WIPS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VLAN / Network Segmentation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Full VLAN and Group Policy support</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802.1X / RADIUS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Enterprise authentication with Meraki RADIUS proxy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Encrypted Management Interface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TLS-encrypted cloud dashboard; RBAC; SAML SSO</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Firmware Management</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Automatic firmware updates via Meraki cloud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Synchronized Security (Sophos Heartbeat)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FAIL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 Sophos integration — separate security ecosystem</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Overall Compliance Score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7/8 PASS</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Strong standalone compliance — no Sophos integration</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Considerations:</w:t>
      </w:r>
    </w:p>
    <w:p>
      <w:pPr>
        <w:pStyle w:val="ListParagraph"/>
        <w:numPr>
          <w:ilvl w:val="0"/>
          <w:numId w:val="4"/>
        </w:numPr>
      </w:pPr>
      <w:r>
        <w:rPr>
          <w:rFonts w:ascii="Open Sans" w:cs="Open Sans" w:eastAsia="Open Sans" w:hAnsi="Open Sans"/>
          <w:color w:val="59595B"/>
          <w:sz w:val="22"/>
          <w:szCs w:val="22"/>
        </w:rPr>
        <w:t xml:space="preserve">Enterprise-class hardware significantly oversized for a 15-user, &lt;50 device environment</w:t>
      </w:r>
    </w:p>
    <w:p>
      <w:pPr>
        <w:pStyle w:val="ListParagraph"/>
        <w:numPr>
          <w:ilvl w:val="0"/>
          <w:numId w:val="4"/>
        </w:numPr>
      </w:pPr>
      <w:r>
        <w:rPr>
          <w:rFonts w:ascii="Open Sans" w:cs="Open Sans" w:eastAsia="Open Sans" w:hAnsi="Open Sans"/>
          <w:color w:val="59595B"/>
          <w:sz w:val="22"/>
          <w:szCs w:val="22"/>
        </w:rPr>
        <w:t xml:space="preserve">Mandatory annual license ($150/year) — AP ceases to function entirely if the license lapses, creating a business continuity risk (FINRA Rule 4370)</w:t>
      </w:r>
    </w:p>
    <w:p>
      <w:pPr>
        <w:pStyle w:val="ListParagraph"/>
        <w:numPr>
          <w:ilvl w:val="0"/>
          <w:numId w:val="4"/>
        </w:numPr>
      </w:pPr>
      <w:r>
        <w:rPr>
          <w:rFonts w:ascii="Open Sans" w:cs="Open Sans" w:eastAsia="Open Sans" w:hAnsi="Open Sans"/>
          <w:color w:val="59595B"/>
          <w:sz w:val="22"/>
          <w:szCs w:val="22"/>
        </w:rPr>
        <w:t xml:space="preserve">Requires PoE++ (802.3bt) — existing PoE switches may not support the higher power draw; may require a PoE injector or switch upgrade (additional cost)</w:t>
      </w:r>
    </w:p>
    <w:p>
      <w:pPr>
        <w:pStyle w:val="ListParagraph"/>
        <w:numPr>
          <w:ilvl w:val="0"/>
          <w:numId w:val="4"/>
        </w:numPr>
      </w:pPr>
      <w:r>
        <w:rPr>
          <w:rFonts w:ascii="Open Sans" w:cs="Open Sans" w:eastAsia="Open Sans" w:hAnsi="Open Sans"/>
          <w:color w:val="59595B"/>
          <w:sz w:val="22"/>
          <w:szCs w:val="22"/>
        </w:rPr>
        <w:t xml:space="preserve">Separate management console from Sophos firewall — auditors must collect evidence from two platforms instead of one</w:t>
      </w:r>
    </w:p>
    <w:p>
      <w:pPr>
        <w:pStyle w:val="ListParagraph"/>
        <w:numPr>
          <w:ilvl w:val="0"/>
          <w:numId w:val="4"/>
        </w:numPr>
      </w:pPr>
      <w:r>
        <w:rPr>
          <w:rFonts w:ascii="Open Sans" w:cs="Open Sans" w:eastAsia="Open Sans" w:hAnsi="Open Sans"/>
          <w:color w:val="59595B"/>
          <w:sz w:val="22"/>
          <w:szCs w:val="22"/>
        </w:rPr>
        <w:t xml:space="preserve">No Sophos Synchronized Security (Heartbeat) — cannot automatically isolate compromised wireless clients at the firewall level</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Option C: Ubiquiti UniFi U7 Pro</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Specification</w:t>
            </w:r>
          </w:p>
        </w:tc>
        <w:tc>
          <w:tcPr>
            <w:tcW w:type="dxa" w:w="61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Details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Model / SKU</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U7-Pro (U7-PRO-US)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Wi-Fi Standard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Wi-Fi 7 (802.11be)</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Bands</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Tri-Band (2.4 GHz + 5 GHz + 6 GHz)</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MIMO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2x2:2 per band</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Max Supported Devices</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300+ concurrent clients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PoE Requirement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802.3at (PoE+) — ~18W</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Management</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UniFi Controller (self-hosted or UniFi Cloud Gateway)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MSRP (Hardware)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$189.00</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Annual Subscription</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None — no recurring license fees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Year 1 Total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$189.00</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Compliance Assessment — Ubiquiti UniFi U7 Pro</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Compliance Control</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Status</w:t>
            </w:r>
          </w:p>
        </w:tc>
        <w:tc>
          <w:tcPr>
            <w:tcW w:type="dxa" w:w="4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Notes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WPA3-Enterprise / WPA3-SAE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Full WPA3 support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Centralized Management + Audit Logging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PARTIAL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UniFi Controller provides management but audit logging is limited compared to enterprise platforms; no SOC 2 attestation for UniFi cloud</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WIDS/WIPS Rogue AP Detection</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PARTIAL</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Basic RF scanning available; no dedicated WIDS/WIPS comparable to Meraki Air Marshal or Sophos Central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VLAN / Network Segmentation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Full VLAN and multiple SSID support</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802.1X / RADIUS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Enterprise authentication supported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Encrypted Management Interface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PARTIAL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Self-hosted controller requires customer-managed TLS; cloud option lacks enterprise RBAC depth</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Firmware Management</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PASS</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Centralized via UniFi Controller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Synchronized Security (Sophos Heartbeat)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FAIL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 Sophos integration — separate ecosystem</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Overall Compliance Score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5/8 PASS</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Gaps in audit logging, WIDS/WIPS, and management security</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Considerations:</w:t>
      </w:r>
    </w:p>
    <w:p>
      <w:pPr>
        <w:pStyle w:val="ListParagraph"/>
        <w:numPr>
          <w:ilvl w:val="0"/>
          <w:numId w:val="5"/>
        </w:numPr>
      </w:pPr>
      <w:r>
        <w:rPr>
          <w:rFonts w:ascii="Open Sans" w:cs="Open Sans" w:eastAsia="Open Sans" w:hAnsi="Open Sans"/>
          <w:color w:val="59595B"/>
          <w:sz w:val="22"/>
          <w:szCs w:val="22"/>
        </w:rPr>
        <w:t xml:space="preserve">Lowest hardware cost but compliance gaps may require additional compensating controls, increasing real-world cost</w:t>
      </w:r>
    </w:p>
    <w:p>
      <w:pPr>
        <w:pStyle w:val="ListParagraph"/>
        <w:numPr>
          <w:ilvl w:val="0"/>
          <w:numId w:val="5"/>
        </w:numPr>
      </w:pPr>
      <w:r>
        <w:rPr>
          <w:rFonts w:ascii="Open Sans" w:cs="Open Sans" w:eastAsia="Open Sans" w:hAnsi="Open Sans"/>
          <w:color w:val="59595B"/>
          <w:sz w:val="22"/>
          <w:szCs w:val="22"/>
        </w:rPr>
        <w:t xml:space="preserve">Limited audit logging — FINRA 3110 and SOC 2 CC6.1 require demonstrable supervisory controls with audit trails; UniFi’s logging may not satisfy auditor scrutiny</w:t>
      </w:r>
    </w:p>
    <w:p>
      <w:pPr>
        <w:pStyle w:val="ListParagraph"/>
        <w:numPr>
          <w:ilvl w:val="0"/>
          <w:numId w:val="5"/>
        </w:numPr>
      </w:pPr>
      <w:r>
        <w:rPr>
          <w:rFonts w:ascii="Open Sans" w:cs="Open Sans" w:eastAsia="Open Sans" w:hAnsi="Open Sans"/>
          <w:color w:val="59595B"/>
          <w:sz w:val="22"/>
          <w:szCs w:val="22"/>
        </w:rPr>
        <w:t xml:space="preserve">WIDS/WIPS capability is basic — PCI-DSS 4.0 §11.2 requires wireless analyzer scans; may require supplemental quarterly scanning</w:t>
      </w:r>
    </w:p>
    <w:p>
      <w:pPr>
        <w:pStyle w:val="ListParagraph"/>
        <w:numPr>
          <w:ilvl w:val="0"/>
          <w:numId w:val="5"/>
        </w:numPr>
      </w:pPr>
      <w:r>
        <w:rPr>
          <w:rFonts w:ascii="Open Sans" w:cs="Open Sans" w:eastAsia="Open Sans" w:hAnsi="Open Sans"/>
          <w:color w:val="59595B"/>
          <w:sz w:val="22"/>
          <w:szCs w:val="22"/>
        </w:rPr>
        <w:t xml:space="preserve">Self-hosted controller requires additional infrastructure management, patching, and backup — increases operational burden</w:t>
      </w:r>
    </w:p>
    <w:p>
      <w:pPr>
        <w:pStyle w:val="ListParagraph"/>
        <w:numPr>
          <w:ilvl w:val="0"/>
          <w:numId w:val="5"/>
        </w:numPr>
      </w:pPr>
      <w:r>
        <w:rPr>
          <w:rFonts w:ascii="Open Sans" w:cs="Open Sans" w:eastAsia="Open Sans" w:hAnsi="Open Sans"/>
          <w:color w:val="59595B"/>
          <w:sz w:val="22"/>
          <w:szCs w:val="22"/>
        </w:rPr>
        <w:t xml:space="preserve">No Sophos Synchronized Security (Heartbeat) — same limitation as Meraki</w:t>
      </w:r>
    </w:p>
    <w:p>
      <w:pPr>
        <w:pStyle w:val="ListParagraph"/>
        <w:numPr>
          <w:ilvl w:val="0"/>
          <w:numId w:val="5"/>
        </w:numPr>
      </w:pPr>
      <w:r>
        <w:rPr>
          <w:rFonts w:ascii="Open Sans" w:cs="Open Sans" w:eastAsia="Open Sans" w:hAnsi="Open Sans"/>
          <w:color w:val="59595B"/>
          <w:sz w:val="22"/>
          <w:szCs w:val="22"/>
        </w:rPr>
        <w:t xml:space="preserve">Consumer/prosumer brand perception may raise questions during SEC or FINRA examinations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4. COMPARISON SUMMARY</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4.1 Technical Comparison</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280"/>
        <w:gridCol w:w="2400"/>
      </w:tblGrid>
      <w:tr>
        <w:tc>
          <w:tcPr>
            <w:tcW w:type="dxa" w:w="2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Feature</w:t>
            </w:r>
          </w:p>
        </w:tc>
        <w:tc>
          <w:tcPr>
            <w:tcW w:type="dxa" w:w="22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Sophos AP6 420</w:t>
            </w:r>
          </w:p>
        </w:tc>
        <w:tc>
          <w:tcPr>
            <w:tcW w:type="dxa" w:w="22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Meraki CW9176I</w:t>
            </w:r>
          </w:p>
        </w:tc>
        <w:tc>
          <w:tcPr>
            <w:tcW w:type="dxa" w:w="2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UniFi U7 Pro</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Wi-Fi Standard</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Wi-Fi 6</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Wi-Fi 7</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Wi-Fi 7</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Bands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Dual-Band</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Tri-Band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Tri-Band</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MIMO</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2x2</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4x4</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2x2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PoE</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af/at (15W)</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bt PoE++ (35W)</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at PoE+ (18W)</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Sophos Integration</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Native (Heartbeat)</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None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None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Rogue AP Detection</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Full WIDS/WIPS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Full (Air Marshal)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Basic</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Audit Logging</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Enterprise-grade</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Enterprise-grade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Limited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Compliance Score</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8/8</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7/8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5/8</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4.2 Cost Comparison</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280"/>
        <w:gridCol w:w="2400"/>
      </w:tblGrid>
      <w:tr>
        <w:tc>
          <w:tcPr>
            <w:tcW w:type="dxa" w:w="2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Cost Item</w:t>
            </w:r>
          </w:p>
        </w:tc>
        <w:tc>
          <w:tcPr>
            <w:tcW w:type="dxa" w:w="22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Sophos AP6 420</w:t>
            </w:r>
          </w:p>
        </w:tc>
        <w:tc>
          <w:tcPr>
            <w:tcW w:type="dxa" w:w="22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Meraki CW9176I</w:t>
            </w:r>
          </w:p>
        </w:tc>
        <w:tc>
          <w:tcPr>
            <w:tcW w:type="dxa" w:w="2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UniFi U7 Pro</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Hardware (MSRP)</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$260.00</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$2,507.00</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$189.00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Annual License/Support</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$13.00 (optional)</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 (mandatory)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Year 1 Total</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$260.00 – $273.00</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$2,657.00</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$189.00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3-Year TCO</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$286.00 – $299.00</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$2,807.00 – $2,957.00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$189.00</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Mandatory License?</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No</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Yes — AP stops working</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No</w:t>
            </w:r>
          </w:p>
        </w:tc>
      </w:tr>
    </w:tbl>
    <w:p>
      <w:pPr>
        <w:pBdr>
          <w:bottom w:val="single" w:color="006DB6" w:sz="3"/>
        </w:pBdr>
        <w:spacing w:after="200" w:before="200"/>
      </w:pPr>
    </w:p>
    <w:p>
      <w:pPr>
        <w:pStyle w:val="Heading1"/>
      </w:pPr>
      <w:r>
        <w:rPr>
          <w:rFonts w:ascii="Open Sans" w:cs="Open Sans" w:eastAsia="Open Sans" w:hAnsi="Open Sans"/>
          <w:color w:val="59595B"/>
          <w:sz w:val="22"/>
          <w:szCs w:val="22"/>
        </w:rPr>
        <w:t xml:space="preserve">5. TECHNIJIAN RECOMMENDATION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recommends Option A: Sophos AP6 420 for the following reasons:</w:t>
      </w:r>
    </w:p>
    <w:p>
      <w:pPr>
        <w:spacing w:after="120"/>
      </w:pPr>
      <w:r>
        <w:rPr>
          <w:rFonts w:ascii="Open Sans" w:cs="Open Sans" w:eastAsia="Open Sans" w:hAnsi="Open Sans"/>
          <w:color w:val="59595B"/>
          <w:sz w:val="22"/>
          <w:szCs w:val="22"/>
        </w:rPr>
        <w:t xml:space="preserve"/>
      </w:r>
    </w:p>
    <w:p>
      <w:pPr>
        <w:pStyle w:val="ListParagraph"/>
        <w:numPr>
          <w:ilvl w:val="0"/>
          <w:numId w:val="6"/>
        </w:numPr>
      </w:pPr>
      <w:r>
        <w:rPr>
          <w:rFonts w:ascii="Open Sans" w:cs="Open Sans" w:eastAsia="Open Sans" w:hAnsi="Open Sans"/>
          <w:color w:val="59595B"/>
          <w:sz w:val="22"/>
          <w:szCs w:val="22"/>
        </w:rPr>
        <w:t xml:space="preserve">Full 8/8 compliance score — the only option that passes all regulatory control requirements without compensating controls</w:t>
      </w:r>
    </w:p>
    <w:p>
      <w:pPr>
        <w:pStyle w:val="ListParagraph"/>
        <w:numPr>
          <w:ilvl w:val="0"/>
          <w:numId w:val="6"/>
        </w:numPr>
      </w:pPr>
      <w:r>
        <w:rPr>
          <w:rFonts w:ascii="Open Sans" w:cs="Open Sans" w:eastAsia="Open Sans" w:hAnsi="Open Sans"/>
          <w:color w:val="59595B"/>
          <w:sz w:val="22"/>
          <w:szCs w:val="22"/>
        </w:rPr>
        <w:t xml:space="preserve">Native Sophos ecosystem integration — managed from the same Sophos Central console as the firewall, providing unified security visibility and audit evidence</w:t>
      </w:r>
    </w:p>
    <w:p>
      <w:pPr>
        <w:pStyle w:val="ListParagraph"/>
        <w:numPr>
          <w:ilvl w:val="0"/>
          <w:numId w:val="6"/>
        </w:numPr>
      </w:pPr>
      <w:r>
        <w:rPr>
          <w:rFonts w:ascii="Open Sans" w:cs="Open Sans" w:eastAsia="Open Sans" w:hAnsi="Open Sans"/>
          <w:color w:val="59595B"/>
          <w:sz w:val="22"/>
          <w:szCs w:val="22"/>
        </w:rPr>
        <w:t xml:space="preserve">Synchronized Security (Heartbeat) — the AP communicates with the Sophos firewall in real-time; if a wireless client is compromised, the firewall can automatically isolate it from the network</w:t>
      </w:r>
    </w:p>
    <w:p>
      <w:pPr>
        <w:pStyle w:val="ListParagraph"/>
        <w:numPr>
          <w:ilvl w:val="0"/>
          <w:numId w:val="6"/>
        </w:numPr>
      </w:pPr>
      <w:r>
        <w:rPr>
          <w:rFonts w:ascii="Open Sans" w:cs="Open Sans" w:eastAsia="Open Sans" w:hAnsi="Open Sans"/>
          <w:color w:val="59595B"/>
          <w:sz w:val="22"/>
          <w:szCs w:val="22"/>
        </w:rPr>
        <w:t xml:space="preserve">Lowest total cost of ownership — $260 hardware with no mandatory subscription vs. $2,657 Year 1 for Meraki</w:t>
      </w:r>
    </w:p>
    <w:p>
      <w:pPr>
        <w:pStyle w:val="ListParagraph"/>
        <w:numPr>
          <w:ilvl w:val="0"/>
          <w:numId w:val="6"/>
        </w:numPr>
      </w:pPr>
      <w:r>
        <w:rPr>
          <w:rFonts w:ascii="Open Sans" w:cs="Open Sans" w:eastAsia="Open Sans" w:hAnsi="Open Sans"/>
          <w:color w:val="59595B"/>
          <w:sz w:val="22"/>
          <w:szCs w:val="22"/>
        </w:rPr>
        <w:t xml:space="preserve">Right-sized for the environment — supports up to 100 clients, appropriate for AFFG’s 15-user / &lt;50 device environment without over-provisioning</w:t>
      </w:r>
    </w:p>
    <w:p>
      <w:pPr>
        <w:pStyle w:val="ListParagraph"/>
        <w:numPr>
          <w:ilvl w:val="0"/>
          <w:numId w:val="6"/>
        </w:numPr>
      </w:pPr>
      <w:r>
        <w:rPr>
          <w:rFonts w:ascii="Open Sans" w:cs="Open Sans" w:eastAsia="Open Sans" w:hAnsi="Open Sans"/>
          <w:color w:val="59595B"/>
          <w:sz w:val="22"/>
          <w:szCs w:val="22"/>
        </w:rPr>
        <w:t xml:space="preserve">Single-vendor security stack — firewall + AP + endpoint protection all under Sophos Central reduces audit complexity and incident response time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6. SCOPE OF WORK</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Upon Client selection of an access point option, Technijian shall perform the following:</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6.1 In Scope</w:t>
      </w:r>
    </w:p>
    <w:p>
      <w:pPr>
        <w:pStyle w:val="ListParagraph"/>
        <w:numPr>
          <w:ilvl w:val="0"/>
          <w:numId w:val="7"/>
        </w:numPr>
      </w:pPr>
      <w:r>
        <w:rPr>
          <w:rFonts w:ascii="Open Sans" w:cs="Open Sans" w:eastAsia="Open Sans" w:hAnsi="Open Sans"/>
          <w:color w:val="59595B"/>
          <w:sz w:val="22"/>
          <w:szCs w:val="22"/>
        </w:rPr>
        <w:t xml:space="preserve">Procurement of the selected access point at the MSRP price listed above</w:t>
      </w:r>
    </w:p>
    <w:p>
      <w:pPr>
        <w:pStyle w:val="ListParagraph"/>
        <w:numPr>
          <w:ilvl w:val="0"/>
          <w:numId w:val="7"/>
        </w:numPr>
      </w:pPr>
      <w:r>
        <w:rPr>
          <w:rFonts w:ascii="Open Sans" w:cs="Open Sans" w:eastAsia="Open Sans" w:hAnsi="Open Sans"/>
          <w:color w:val="59595B"/>
          <w:sz w:val="22"/>
          <w:szCs w:val="22"/>
        </w:rPr>
        <w:t xml:space="preserve">Disable Wi-Fi on existing router to eliminate unmonitored wireless traffic</w:t>
      </w:r>
    </w:p>
    <w:p>
      <w:pPr>
        <w:pStyle w:val="ListParagraph"/>
        <w:numPr>
          <w:ilvl w:val="0"/>
          <w:numId w:val="7"/>
        </w:numPr>
      </w:pPr>
      <w:r>
        <w:rPr>
          <w:rFonts w:ascii="Open Sans" w:cs="Open Sans" w:eastAsia="Open Sans" w:hAnsi="Open Sans"/>
          <w:color w:val="59595B"/>
          <w:sz w:val="22"/>
          <w:szCs w:val="22"/>
        </w:rPr>
        <w:t xml:space="preserve">Physical installation of the access point at Client’s primary location</w:t>
      </w:r>
    </w:p>
    <w:p>
      <w:pPr>
        <w:pStyle w:val="ListParagraph"/>
        <w:numPr>
          <w:ilvl w:val="0"/>
          <w:numId w:val="7"/>
        </w:numPr>
      </w:pPr>
      <w:r>
        <w:rPr>
          <w:rFonts w:ascii="Open Sans" w:cs="Open Sans" w:eastAsia="Open Sans" w:hAnsi="Open Sans"/>
          <w:color w:val="59595B"/>
          <w:sz w:val="22"/>
          <w:szCs w:val="22"/>
        </w:rPr>
        <w:t xml:space="preserve">Configuration of WPA3-Enterprise or WPA3-SAE encryption</w:t>
      </w:r>
    </w:p>
    <w:p>
      <w:pPr>
        <w:pStyle w:val="ListParagraph"/>
        <w:numPr>
          <w:ilvl w:val="0"/>
          <w:numId w:val="7"/>
        </w:numPr>
      </w:pPr>
      <w:r>
        <w:rPr>
          <w:rFonts w:ascii="Open Sans" w:cs="Open Sans" w:eastAsia="Open Sans" w:hAnsi="Open Sans"/>
          <w:color w:val="59595B"/>
          <w:sz w:val="22"/>
          <w:szCs w:val="22"/>
        </w:rPr>
        <w:t xml:space="preserve">VLAN configuration for wireless network segmentation (guest vs. corporate SSIDs)</w:t>
      </w:r>
    </w:p>
    <w:p>
      <w:pPr>
        <w:pStyle w:val="ListParagraph"/>
        <w:numPr>
          <w:ilvl w:val="0"/>
          <w:numId w:val="7"/>
        </w:numPr>
      </w:pPr>
      <w:r>
        <w:rPr>
          <w:rFonts w:ascii="Open Sans" w:cs="Open Sans" w:eastAsia="Open Sans" w:hAnsi="Open Sans"/>
          <w:color w:val="59595B"/>
          <w:sz w:val="22"/>
          <w:szCs w:val="22"/>
        </w:rPr>
        <w:t xml:space="preserve">802.1X / RADIUS configuration (if Client has or deploys a RADIUS server)</w:t>
      </w:r>
    </w:p>
    <w:p>
      <w:pPr>
        <w:pStyle w:val="ListParagraph"/>
        <w:numPr>
          <w:ilvl w:val="0"/>
          <w:numId w:val="7"/>
        </w:numPr>
      </w:pPr>
      <w:r>
        <w:rPr>
          <w:rFonts w:ascii="Open Sans" w:cs="Open Sans" w:eastAsia="Open Sans" w:hAnsi="Open Sans"/>
          <w:color w:val="59595B"/>
          <w:sz w:val="22"/>
          <w:szCs w:val="22"/>
        </w:rPr>
        <w:t xml:space="preserve">Integration with Sophos firewall — wireless traffic routed through Sophos inspection engine</w:t>
      </w:r>
    </w:p>
    <w:p>
      <w:pPr>
        <w:pStyle w:val="ListParagraph"/>
        <w:numPr>
          <w:ilvl w:val="0"/>
          <w:numId w:val="7"/>
        </w:numPr>
      </w:pPr>
      <w:r>
        <w:rPr>
          <w:rFonts w:ascii="Open Sans" w:cs="Open Sans" w:eastAsia="Open Sans" w:hAnsi="Open Sans"/>
          <w:color w:val="59595B"/>
          <w:sz w:val="22"/>
          <w:szCs w:val="22"/>
        </w:rPr>
        <w:t xml:space="preserve">Sophos Central enrollment and Synchronized Security configuration (Option A only)</w:t>
      </w:r>
    </w:p>
    <w:p>
      <w:pPr>
        <w:pStyle w:val="ListParagraph"/>
        <w:numPr>
          <w:ilvl w:val="0"/>
          <w:numId w:val="7"/>
        </w:numPr>
      </w:pPr>
      <w:r>
        <w:rPr>
          <w:rFonts w:ascii="Open Sans" w:cs="Open Sans" w:eastAsia="Open Sans" w:hAnsi="Open Sans"/>
          <w:color w:val="59595B"/>
          <w:sz w:val="22"/>
          <w:szCs w:val="22"/>
        </w:rPr>
        <w:t xml:space="preserve">WIDS/WIPS rogue AP detection configuration</w:t>
      </w:r>
    </w:p>
    <w:p>
      <w:pPr>
        <w:pStyle w:val="ListParagraph"/>
        <w:numPr>
          <w:ilvl w:val="0"/>
          <w:numId w:val="7"/>
        </w:numPr>
      </w:pPr>
      <w:r>
        <w:rPr>
          <w:rFonts w:ascii="Open Sans" w:cs="Open Sans" w:eastAsia="Open Sans" w:hAnsi="Open Sans"/>
          <w:color w:val="59595B"/>
          <w:sz w:val="22"/>
          <w:szCs w:val="22"/>
        </w:rPr>
        <w:t xml:space="preserve">Post-deployment validation and wireless coverage testing</w:t>
      </w:r>
    </w:p>
    <w:p>
      <w:pPr>
        <w:pStyle w:val="ListParagraph"/>
        <w:numPr>
          <w:ilvl w:val="0"/>
          <w:numId w:val="7"/>
        </w:numPr>
      </w:pPr>
      <w:r>
        <w:rPr>
          <w:rFonts w:ascii="Open Sans" w:cs="Open Sans" w:eastAsia="Open Sans" w:hAnsi="Open Sans"/>
          <w:color w:val="59595B"/>
          <w:sz w:val="22"/>
          <w:szCs w:val="22"/>
        </w:rPr>
        <w:t xml:space="preserve">Compliance evidence documentation for wireless controls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6.2 Out of Scope</w:t>
      </w:r>
    </w:p>
    <w:p>
      <w:pPr>
        <w:pStyle w:val="ListParagraph"/>
        <w:numPr>
          <w:ilvl w:val="0"/>
          <w:numId w:val="8"/>
        </w:numPr>
      </w:pPr>
      <w:r>
        <w:rPr>
          <w:rFonts w:ascii="Open Sans" w:cs="Open Sans" w:eastAsia="Open Sans" w:hAnsi="Open Sans"/>
          <w:color w:val="59595B"/>
          <w:sz w:val="22"/>
          <w:szCs w:val="22"/>
        </w:rPr>
        <w:t xml:space="preserve">RADIUS server deployment (covered under separate SOW if needed)</w:t>
      </w:r>
    </w:p>
    <w:p>
      <w:pPr>
        <w:pStyle w:val="ListParagraph"/>
        <w:numPr>
          <w:ilvl w:val="0"/>
          <w:numId w:val="8"/>
        </w:numPr>
      </w:pPr>
      <w:r>
        <w:rPr>
          <w:rFonts w:ascii="Open Sans" w:cs="Open Sans" w:eastAsia="Open Sans" w:hAnsi="Open Sans"/>
          <w:color w:val="59595B"/>
          <w:sz w:val="22"/>
          <w:szCs w:val="22"/>
        </w:rPr>
        <w:t xml:space="preserve">Additional access points for extended coverage areas</w:t>
      </w:r>
    </w:p>
    <w:p>
      <w:pPr>
        <w:pStyle w:val="ListParagraph"/>
        <w:numPr>
          <w:ilvl w:val="0"/>
          <w:numId w:val="8"/>
        </w:numPr>
      </w:pPr>
      <w:r>
        <w:rPr>
          <w:rFonts w:ascii="Open Sans" w:cs="Open Sans" w:eastAsia="Open Sans" w:hAnsi="Open Sans"/>
          <w:color w:val="59595B"/>
          <w:sz w:val="22"/>
          <w:szCs w:val="22"/>
        </w:rPr>
        <w:t xml:space="preserve">PoE switch upgrades (if required for Meraki option — quoted separately)</w:t>
      </w:r>
    </w:p>
    <w:p>
      <w:pPr>
        <w:pStyle w:val="ListParagraph"/>
        <w:numPr>
          <w:ilvl w:val="0"/>
          <w:numId w:val="8"/>
        </w:numPr>
      </w:pPr>
      <w:r>
        <w:rPr>
          <w:rFonts w:ascii="Open Sans" w:cs="Open Sans" w:eastAsia="Open Sans" w:hAnsi="Open Sans"/>
          <w:color w:val="59595B"/>
          <w:sz w:val="22"/>
          <w:szCs w:val="22"/>
        </w:rPr>
        <w:t xml:space="preserve">Wireless site survey or heat mapping</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6.3 Schedule</w:t>
      </w:r>
    </w:p>
    <w:p>
      <w:pPr>
        <w:spacing w:after="120"/>
      </w:pPr>
      <w:r>
        <w:rPr>
          <w:rFonts w:ascii="Open Sans" w:cs="Open Sans" w:eastAsia="Open Sans" w:hAnsi="Open Sans"/>
          <w:color w:val="59595B"/>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3300"/>
        <w:gridCol w:w="1180"/>
        <w:gridCol w:w="118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1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c>
          <w:tcPr>
            <w:tcW w:type="dxa" w:w="33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1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1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Engineer</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Router Wi-Fi disable, AP physical install, and network integration</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During SOW-001 Phase 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Engineer</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WPA3, VLAN, 802.1X, and security policy configuration</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During SOW-001 Phase 4</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Engineer</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Sophos Central enrollment, WIDS/WIPS config, and compliance documentation</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During SOW-001 Phase 4</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4</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pBdr>
          <w:bottom w:val="single" w:color="006DB6" w:sz="3"/>
        </w:pBdr>
        <w:spacing w:after="200" w:before="200"/>
      </w:pPr>
    </w:p>
    <w:p>
      <w:pPr>
        <w:pStyle w:val="Heading1"/>
      </w:pPr>
      <w:r>
        <w:rPr>
          <w:rFonts w:ascii="Open Sans" w:cs="Open Sans" w:eastAsia="Open Sans" w:hAnsi="Open Sans"/>
          <w:color w:val="59595B"/>
          <w:sz w:val="22"/>
          <w:szCs w:val="22"/>
        </w:rPr>
        <w:t xml:space="preserve">7. PRICING AND PAYMENT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7.1 Rate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 Tier</w:t>
            </w:r>
          </w:p>
        </w:tc>
        <w:tc>
          <w:tcPr>
            <w:tcW w:type="dxa" w:w="4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2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Hourly Rate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Engineer (US)</w:t>
            </w:r>
          </w:p>
        </w:tc>
        <w:tc>
          <w:tcPr>
            <w:tcW w:type="dxa" w:w="4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On-shore senior technical resource — installation, configuration, integration</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Engineer (Offshore)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technical resource — enrollment, documentation, compliance evidence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7.2 Labor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80"/>
        <w:gridCol w:w="2680"/>
      </w:tblGrid>
      <w:tr>
        <w:tc>
          <w:tcPr>
            <w:tcW w:type="dxa" w:w="2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Hours</w:t>
            </w:r>
          </w:p>
        </w:tc>
        <w:tc>
          <w:tcPr>
            <w:tcW w:type="dxa" w:w="24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c>
          <w:tcPr>
            <w:tcW w:type="dxa" w:w="26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Cost</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Engineer (US)</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2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Engineer (Offshore)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Labor Subtotal</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$495.00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7.3 Equipment Cost (Client Selects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80"/>
        <w:gridCol w:w="1880"/>
        <w:gridCol w:w="1800"/>
      </w:tblGrid>
      <w:tr>
        <w:tc>
          <w:tcPr>
            <w:tcW w:type="dxa" w:w="2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Option</w:t>
            </w:r>
          </w:p>
        </w:tc>
        <w:tc>
          <w:tcPr>
            <w:tcW w:type="dxa" w:w="2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Access Point</w:t>
            </w:r>
          </w:p>
        </w:tc>
        <w:tc>
          <w:tcPr>
            <w:tcW w:type="dxa" w:w="16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MSRP Price</w:t>
            </w:r>
          </w:p>
        </w:tc>
        <w:tc>
          <w:tcPr>
            <w:tcW w:type="dxa" w:w="18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Annual License</w:t>
            </w:r>
          </w:p>
        </w:tc>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Year 1 Total</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Option A (Recommended)</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Sophos AP6 420</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$260.00</w:t>
            </w:r>
          </w:p>
        </w:tc>
        <w:tc>
          <w:tcPr>
            <w:tcW w:type="dxa" w:w="18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$13.00 (optional)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$260.00 – $273.00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Option B</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Cisco Meraki CW9176I</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$2,507.00</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 (mandatory)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$2,657.00</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Option C</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Ubiquiti UniFi U7 Pro</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$189.00</w:t>
            </w:r>
          </w:p>
        </w:tc>
        <w:tc>
          <w:tcPr>
            <w:tcW w:type="dxa" w:w="18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$189.00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7.4 Total Investment Summary</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280"/>
        <w:gridCol w:w="2400"/>
      </w:tblGrid>
      <w:tr>
        <w:tc>
          <w:tcPr>
            <w:tcW w:type="dxa" w:w="2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Cost Component</w:t>
            </w:r>
          </w:p>
        </w:tc>
        <w:tc>
          <w:tcPr>
            <w:tcW w:type="dxa" w:w="22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Option A (Sophos)</w:t>
            </w:r>
          </w:p>
        </w:tc>
        <w:tc>
          <w:tcPr>
            <w:tcW w:type="dxa" w:w="22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Option B (Meraki)</w:t>
            </w:r>
          </w:p>
        </w:tc>
        <w:tc>
          <w:tcPr>
            <w:tcW w:type="dxa" w:w="2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Option C (Ubiquiti)</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Labor</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$495.00</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$495.00</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$495.00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Hardware (MSRP)</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$260.00</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$2,507.00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$189.00</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Annual License (Year 1)</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$13.00 (optional)</w:t>
            </w:r>
          </w:p>
        </w:tc>
        <w:tc>
          <w:tcPr>
            <w:tcW w:type="dxa" w:w="2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 Investment</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$755.00 – $768.00</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$3,152.00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$684.00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7.5 Pricing Disclaimer</w:t>
      </w:r>
    </w:p>
    <w:p>
      <w:r>
        <w:rPr>
          <w:rFonts w:ascii="Open Sans" w:cs="Open Sans" w:eastAsia="Open Sans" w:hAnsi="Open Sans"/>
          <w:i/>
          <w:iCs/>
          <w:color w:val="59595B"/>
          <w:sz w:val="22"/>
          <w:szCs w:val="22"/>
        </w:rPr>
        <w:t xml:space="preserve">All equipment prices listed in this SOW are based on Manufacturer’s Suggested Retail Price (MSRP) as of March 31, 2026. Technijian is currently collecting final distributor and vendor quotes. The actual invoiced equipment price may be adjusted downward once final quotes are received. Technijian shall notify Client of any price adjustment prior to invoicing. In no event shall the equipment price exceed the MSRP listed herein.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7.6 Payment Terms</w:t>
      </w:r>
    </w:p>
    <w:p>
      <w:r>
        <w:rPr>
          <w:rFonts w:ascii="Open Sans" w:cs="Open Sans" w:eastAsia="Open Sans" w:hAnsi="Open Sans"/>
          <w:color w:val="59595B"/>
          <w:sz w:val="22"/>
          <w:szCs w:val="22"/>
        </w:rPr>
        <w:t xml:space="preserve">Equipment cost is due upon SOW execution. Labor is invoiced upon completion. All invoices are due and payable within thirty (30) days of the invoice date.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8. CLIENT SELECTION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Client selects the following access point option (check one):</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  Option A: Sophos AP6 420 — $260.00 (Recommended)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  Option B: Cisco Meraki CW9176I — $2,507.00 + $150.00/year license</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  Option C: Ubiquiti UniFi U7 Pro — $189.00</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9. GOVERNING TERMS</w:t>
      </w:r>
    </w:p>
    <w:p>
      <w:r>
        <w:rPr>
          <w:rFonts w:ascii="Open Sans" w:cs="Open Sans" w:eastAsia="Open Sans" w:hAnsi="Open Sans"/>
          <w:color w:val="59595B"/>
          <w:sz w:val="22"/>
          <w:szCs w:val="22"/>
        </w:rPr>
        <w:t xml:space="preserve">9.01. This Addendum SOW is governed by the same terms and conditions as SOW-AFFG-001. All provisions of SOW-AFFG-001 regarding change management, acceptance, liability, and governing law apply to this addendum.</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9.02. Work under this addendum will be performed concurrently with SOW-AFFG-001 Phases 3 and 4 to minimize disruption and avoid duplicate site visits.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AMERICAN FUNDSTARS FINANCIAL GROUP LLC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2026-03-31T17:08:05.251Z</dcterms:created>
  <dcterms:modified xsi:type="dcterms:W3CDTF">2026-03-31T17:08:05.252Z</dcterms:modified>
</cp:coreProperties>
</file>

<file path=docProps/custom.xml><?xml version="1.0" encoding="utf-8"?>
<Properties xmlns="http://schemas.openxmlformats.org/officeDocument/2006/custom-properties" xmlns:vt="http://schemas.openxmlformats.org/officeDocument/2006/docPropsVTypes"/>
</file>