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Hourly Services Agreement</w:t>
      </w:r>
    </w:p>
    <w:p>
      <w:pPr>
        <w:spacing w:after="400"/>
        <w:jc w:val="center"/>
      </w:pPr>
      <w:r>
        <w:rPr>
          <w:rFonts w:ascii="Open Sans" w:cs="Open Sans" w:eastAsia="Open Sans" w:hAnsi="Open Sans"/>
          <w:color w:val="59595B"/>
          <w:sz w:val="24"/>
          <w:szCs w:val="24"/>
        </w:rPr>
        <w:t xml:space="preserve">CTO Advisory Services — JVR Sheetmetal and Fabrication DBA Talsco</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March 31,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HOURLY SERVICES AGREEMENT</w:t>
      </w:r>
    </w:p>
    <w:p>
      <w:r>
        <w:rPr>
          <w:rFonts w:ascii="Open Sans" w:cs="Open Sans" w:eastAsia="Open Sans" w:hAnsi="Open Sans"/>
          <w:b/>
          <w:bCs/>
          <w:color w:val="1A1A2E"/>
          <w:sz w:val="22"/>
          <w:szCs w:val="22"/>
        </w:rPr>
        <w:t xml:space="preserve">Agreement Number: </w:t>
      </w:r>
      <w:r>
        <w:rPr>
          <w:rFonts w:ascii="Open Sans" w:cs="Open Sans" w:eastAsia="Open Sans" w:hAnsi="Open Sans"/>
          <w:color w:val="59595B"/>
          <w:sz w:val="22"/>
          <w:szCs w:val="22"/>
        </w:rPr>
        <w:t xml:space="preserve">SOW-TSC-001</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March 31, 2026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Hourly Services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JVR Sheetmetal and Fabrication DBA Talsco (“Client”)</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Jose Castaneda Jr., General Manager</w:t>
      </w:r>
    </w:p>
    <w:p>
      <w:r>
        <w:rPr>
          <w:rFonts w:ascii="Open Sans" w:cs="Open Sans" w:eastAsia="Open Sans" w:hAnsi="Open Sans"/>
          <w:b/>
          <w:bCs/>
          <w:color w:val="1A1A2E"/>
          <w:sz w:val="22"/>
          <w:szCs w:val="22"/>
        </w:rPr>
        <w:t xml:space="preserve">Phone: </w:t>
      </w:r>
      <w:r>
        <w:rPr>
          <w:rFonts w:ascii="Open Sans" w:cs="Open Sans" w:eastAsia="Open Sans" w:hAnsi="Open Sans"/>
          <w:color w:val="59595B"/>
          <w:sz w:val="22"/>
          <w:szCs w:val="22"/>
        </w:rPr>
        <w:t xml:space="preserve">714-841-2464 Ext. 240</w:t>
      </w:r>
    </w:p>
    <w:p>
      <w:r>
        <w:rPr>
          <w:rFonts w:ascii="Open Sans" w:cs="Open Sans" w:eastAsia="Open Sans" w:hAnsi="Open Sans"/>
          <w:b/>
          <w:bCs/>
          <w:color w:val="1A1A2E"/>
          <w:sz w:val="22"/>
          <w:szCs w:val="22"/>
        </w:rPr>
        <w:t xml:space="preserve">Email: </w:t>
      </w:r>
      <w:r>
        <w:rPr>
          <w:rFonts w:ascii="Open Sans" w:cs="Open Sans" w:eastAsia="Open Sans" w:hAnsi="Open Sans"/>
          <w:color w:val="59595B"/>
          <w:sz w:val="22"/>
          <w:szCs w:val="22"/>
        </w:rPr>
        <w:t xml:space="preserve">jose@talsco.com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ENGAGEMENT OVERVIEW</w:t>
      </w:r>
    </w:p>
    <w:p>
      <w:pPr>
        <w:pStyle w:val="Heading2"/>
      </w:pPr>
      <w:r>
        <w:rPr>
          <w:rFonts w:ascii="Open Sans" w:cs="Open Sans" w:eastAsia="Open Sans" w:hAnsi="Open Sans"/>
          <w:color w:val="59595B"/>
          <w:sz w:val="22"/>
          <w:szCs w:val="22"/>
        </w:rPr>
        <w:t xml:space="preserve">1.1 Service Description</w:t>
      </w:r>
    </w:p>
    <w:p>
      <w:r>
        <w:rPr>
          <w:rFonts w:ascii="Open Sans" w:cs="Open Sans" w:eastAsia="Open Sans" w:hAnsi="Open Sans"/>
          <w:color w:val="59595B"/>
          <w:sz w:val="22"/>
          <w:szCs w:val="22"/>
        </w:rPr>
        <w:t xml:space="preserve">Technijian will provide fractional Chief Technology Officer (“CTO”) advisory services to Client on an hourly, as-needed basis. The CTO Advisory engagement provides Client with access to senior technology leadership for strategic guidance, technology planning, and IT governance without the cost of a full-time executive hire.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Engagement Model</w:t>
      </w:r>
    </w:p>
    <w:p>
      <w:r>
        <w:rPr>
          <w:rFonts w:ascii="Open Sans" w:cs="Open Sans" w:eastAsia="Open Sans" w:hAnsi="Open Sans"/>
          <w:color w:val="59595B"/>
          <w:sz w:val="22"/>
          <w:szCs w:val="22"/>
        </w:rPr>
        <w:t xml:space="preserve">This is an hourly engagement with no minimum commitment. Services are rendered upon Client’s request and billed in 15-minute increments. There is no retainer, no monthly minimum, and no long-term obligation. Either Party may terminate this Agreement at any time with thirty (30) days’ written notice.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SERVICES</w:t>
      </w:r>
    </w:p>
    <w:p>
      <w:r>
        <w:rPr>
          <w:rFonts w:ascii="Open Sans" w:cs="Open Sans" w:eastAsia="Open Sans" w:hAnsi="Open Sans"/>
          <w:color w:val="59595B"/>
          <w:sz w:val="22"/>
          <w:szCs w:val="22"/>
        </w:rPr>
        <w:t xml:space="preserve">The CTO Advisory services may include, but are not limited to, the following areas: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2.1 Technology Strategy &amp; Planning</w:t>
      </w:r>
    </w:p>
    <w:p>
      <w:pPr>
        <w:pStyle w:val="ListParagraph"/>
        <w:numPr>
          <w:ilvl w:val="0"/>
          <w:numId w:val="2"/>
        </w:numPr>
      </w:pPr>
      <w:r>
        <w:rPr>
          <w:rFonts w:ascii="Open Sans" w:cs="Open Sans" w:eastAsia="Open Sans" w:hAnsi="Open Sans"/>
          <w:color w:val="59595B"/>
          <w:sz w:val="22"/>
          <w:szCs w:val="22"/>
        </w:rPr>
        <w:t xml:space="preserve">Technology roadmap development and alignment with business objectives</w:t>
      </w:r>
    </w:p>
    <w:p>
      <w:pPr>
        <w:pStyle w:val="ListParagraph"/>
        <w:numPr>
          <w:ilvl w:val="0"/>
          <w:numId w:val="2"/>
        </w:numPr>
      </w:pPr>
      <w:r>
        <w:rPr>
          <w:rFonts w:ascii="Open Sans" w:cs="Open Sans" w:eastAsia="Open Sans" w:hAnsi="Open Sans"/>
          <w:color w:val="59595B"/>
          <w:sz w:val="22"/>
          <w:szCs w:val="22"/>
        </w:rPr>
        <w:t xml:space="preserve">IT budget planning and optimization recommendations</w:t>
      </w:r>
    </w:p>
    <w:p>
      <w:pPr>
        <w:pStyle w:val="ListParagraph"/>
        <w:numPr>
          <w:ilvl w:val="0"/>
          <w:numId w:val="2"/>
        </w:numPr>
      </w:pPr>
      <w:r>
        <w:rPr>
          <w:rFonts w:ascii="Open Sans" w:cs="Open Sans" w:eastAsia="Open Sans" w:hAnsi="Open Sans"/>
          <w:color w:val="59595B"/>
          <w:sz w:val="22"/>
          <w:szCs w:val="22"/>
        </w:rPr>
        <w:t xml:space="preserve">Vendor evaluation, selection, and contract review for technology purchases</w:t>
      </w:r>
    </w:p>
    <w:p>
      <w:pPr>
        <w:pStyle w:val="ListParagraph"/>
        <w:numPr>
          <w:ilvl w:val="0"/>
          <w:numId w:val="2"/>
        </w:numPr>
      </w:pPr>
      <w:r>
        <w:rPr>
          <w:rFonts w:ascii="Open Sans" w:cs="Open Sans" w:eastAsia="Open Sans" w:hAnsi="Open Sans"/>
          <w:color w:val="59595B"/>
          <w:sz w:val="22"/>
          <w:szCs w:val="22"/>
        </w:rPr>
        <w:t xml:space="preserve">Cloud strategy and digital transformation guidance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IT Infrastructure &amp; Operations</w:t>
      </w:r>
    </w:p>
    <w:p>
      <w:pPr>
        <w:pStyle w:val="ListParagraph"/>
        <w:numPr>
          <w:ilvl w:val="0"/>
          <w:numId w:val="3"/>
        </w:numPr>
      </w:pPr>
      <w:r>
        <w:rPr>
          <w:rFonts w:ascii="Open Sans" w:cs="Open Sans" w:eastAsia="Open Sans" w:hAnsi="Open Sans"/>
          <w:color w:val="59595B"/>
          <w:sz w:val="22"/>
          <w:szCs w:val="22"/>
        </w:rPr>
        <w:t xml:space="preserve">Assessment and recommendations for network, server, and endpoint infrastructure</w:t>
      </w:r>
    </w:p>
    <w:p>
      <w:pPr>
        <w:pStyle w:val="ListParagraph"/>
        <w:numPr>
          <w:ilvl w:val="0"/>
          <w:numId w:val="3"/>
        </w:numPr>
      </w:pPr>
      <w:r>
        <w:rPr>
          <w:rFonts w:ascii="Open Sans" w:cs="Open Sans" w:eastAsia="Open Sans" w:hAnsi="Open Sans"/>
          <w:color w:val="59595B"/>
          <w:sz w:val="22"/>
          <w:szCs w:val="22"/>
        </w:rPr>
        <w:t xml:space="preserve">Business continuity and disaster recovery planning</w:t>
      </w:r>
    </w:p>
    <w:p>
      <w:pPr>
        <w:pStyle w:val="ListParagraph"/>
        <w:numPr>
          <w:ilvl w:val="0"/>
          <w:numId w:val="3"/>
        </w:numPr>
      </w:pPr>
      <w:r>
        <w:rPr>
          <w:rFonts w:ascii="Open Sans" w:cs="Open Sans" w:eastAsia="Open Sans" w:hAnsi="Open Sans"/>
          <w:color w:val="59595B"/>
          <w:sz w:val="22"/>
          <w:szCs w:val="22"/>
        </w:rPr>
        <w:t xml:space="preserve">IT process improvement and operational efficiency recommendations</w:t>
      </w:r>
    </w:p>
    <w:p>
      <w:pPr>
        <w:pStyle w:val="ListParagraph"/>
        <w:numPr>
          <w:ilvl w:val="0"/>
          <w:numId w:val="3"/>
        </w:numPr>
      </w:pPr>
      <w:r>
        <w:rPr>
          <w:rFonts w:ascii="Open Sans" w:cs="Open Sans" w:eastAsia="Open Sans" w:hAnsi="Open Sans"/>
          <w:color w:val="59595B"/>
          <w:sz w:val="22"/>
          <w:szCs w:val="22"/>
        </w:rPr>
        <w:t xml:space="preserve">Technology staff evaluation and hiring guidance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Cybersecurity &amp; Compliance</w:t>
      </w:r>
    </w:p>
    <w:p>
      <w:pPr>
        <w:pStyle w:val="ListParagraph"/>
        <w:numPr>
          <w:ilvl w:val="0"/>
          <w:numId w:val="4"/>
        </w:numPr>
      </w:pPr>
      <w:r>
        <w:rPr>
          <w:rFonts w:ascii="Open Sans" w:cs="Open Sans" w:eastAsia="Open Sans" w:hAnsi="Open Sans"/>
          <w:color w:val="59595B"/>
          <w:sz w:val="22"/>
          <w:szCs w:val="22"/>
        </w:rPr>
        <w:t xml:space="preserve">Security posture assessment and risk identification</w:t>
      </w:r>
    </w:p>
    <w:p>
      <w:pPr>
        <w:pStyle w:val="ListParagraph"/>
        <w:numPr>
          <w:ilvl w:val="0"/>
          <w:numId w:val="4"/>
        </w:numPr>
      </w:pPr>
      <w:r>
        <w:rPr>
          <w:rFonts w:ascii="Open Sans" w:cs="Open Sans" w:eastAsia="Open Sans" w:hAnsi="Open Sans"/>
          <w:color w:val="59595B"/>
          <w:sz w:val="22"/>
          <w:szCs w:val="22"/>
        </w:rPr>
        <w:t xml:space="preserve">Security policy development and review</w:t>
      </w:r>
    </w:p>
    <w:p>
      <w:pPr>
        <w:pStyle w:val="ListParagraph"/>
        <w:numPr>
          <w:ilvl w:val="0"/>
          <w:numId w:val="4"/>
        </w:numPr>
      </w:pPr>
      <w:r>
        <w:rPr>
          <w:rFonts w:ascii="Open Sans" w:cs="Open Sans" w:eastAsia="Open Sans" w:hAnsi="Open Sans"/>
          <w:color w:val="59595B"/>
          <w:sz w:val="22"/>
          <w:szCs w:val="22"/>
        </w:rPr>
        <w:t xml:space="preserve">Compliance guidance for industry-specific requirements</w:t>
      </w:r>
    </w:p>
    <w:p>
      <w:pPr>
        <w:pStyle w:val="ListParagraph"/>
        <w:numPr>
          <w:ilvl w:val="0"/>
          <w:numId w:val="4"/>
        </w:numPr>
      </w:pPr>
      <w:r>
        <w:rPr>
          <w:rFonts w:ascii="Open Sans" w:cs="Open Sans" w:eastAsia="Open Sans" w:hAnsi="Open Sans"/>
          <w:color w:val="59595B"/>
          <w:sz w:val="22"/>
          <w:szCs w:val="22"/>
        </w:rPr>
        <w:t xml:space="preserve">Incident response planning and tabletop exercise facilitation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2.4 Project Oversight</w:t>
      </w:r>
    </w:p>
    <w:p>
      <w:pPr>
        <w:pStyle w:val="ListParagraph"/>
        <w:numPr>
          <w:ilvl w:val="0"/>
          <w:numId w:val="5"/>
        </w:numPr>
      </w:pPr>
      <w:r>
        <w:rPr>
          <w:rFonts w:ascii="Open Sans" w:cs="Open Sans" w:eastAsia="Open Sans" w:hAnsi="Open Sans"/>
          <w:color w:val="59595B"/>
          <w:sz w:val="22"/>
          <w:szCs w:val="22"/>
        </w:rPr>
        <w:t xml:space="preserve">Technology project scoping, planning, and oversight</w:t>
      </w:r>
    </w:p>
    <w:p>
      <w:pPr>
        <w:pStyle w:val="ListParagraph"/>
        <w:numPr>
          <w:ilvl w:val="0"/>
          <w:numId w:val="5"/>
        </w:numPr>
      </w:pPr>
      <w:r>
        <w:rPr>
          <w:rFonts w:ascii="Open Sans" w:cs="Open Sans" w:eastAsia="Open Sans" w:hAnsi="Open Sans"/>
          <w:color w:val="59595B"/>
          <w:sz w:val="22"/>
          <w:szCs w:val="22"/>
        </w:rPr>
        <w:t xml:space="preserve">Vendor and contractor management for IT projects</w:t>
      </w:r>
    </w:p>
    <w:p>
      <w:pPr>
        <w:pStyle w:val="ListParagraph"/>
        <w:numPr>
          <w:ilvl w:val="0"/>
          <w:numId w:val="5"/>
        </w:numPr>
      </w:pPr>
      <w:r>
        <w:rPr>
          <w:rFonts w:ascii="Open Sans" w:cs="Open Sans" w:eastAsia="Open Sans" w:hAnsi="Open Sans"/>
          <w:color w:val="59595B"/>
          <w:sz w:val="22"/>
          <w:szCs w:val="22"/>
        </w:rPr>
        <w:t xml:space="preserve">Technical due diligence for acquisitions or major investments</w:t>
      </w:r>
    </w:p>
    <w:p>
      <w:pPr>
        <w:pStyle w:val="ListParagraph"/>
        <w:numPr>
          <w:ilvl w:val="0"/>
          <w:numId w:val="5"/>
        </w:numPr>
      </w:pPr>
      <w:r>
        <w:rPr>
          <w:rFonts w:ascii="Open Sans" w:cs="Open Sans" w:eastAsia="Open Sans" w:hAnsi="Open Sans"/>
          <w:color w:val="59595B"/>
          <w:sz w:val="22"/>
          <w:szCs w:val="22"/>
        </w:rPr>
        <w:t xml:space="preserve">Quality assurance and deliverable review for IT initiatives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2.5 Artificial Intelligence (AI) Services</w:t>
      </w:r>
    </w:p>
    <w:p>
      <w:pPr>
        <w:pStyle w:val="ListParagraph"/>
        <w:numPr>
          <w:ilvl w:val="0"/>
          <w:numId w:val="6"/>
        </w:numPr>
      </w:pPr>
      <w:r>
        <w:rPr>
          <w:rFonts w:ascii="Open Sans" w:cs="Open Sans" w:eastAsia="Open Sans" w:hAnsi="Open Sans"/>
          <w:color w:val="59595B"/>
          <w:sz w:val="22"/>
          <w:szCs w:val="22"/>
        </w:rPr>
        <w:t xml:space="preserve">AI training and education for Client’s leadership and staff — workshops covering AI fundamentals, capabilities, limitations, and practical business applications</w:t>
      </w:r>
    </w:p>
    <w:p>
      <w:pPr>
        <w:pStyle w:val="ListParagraph"/>
        <w:numPr>
          <w:ilvl w:val="0"/>
          <w:numId w:val="6"/>
        </w:numPr>
      </w:pPr>
      <w:r>
        <w:rPr>
          <w:rFonts w:ascii="Open Sans" w:cs="Open Sans" w:eastAsia="Open Sans" w:hAnsi="Open Sans"/>
          <w:color w:val="59595B"/>
          <w:sz w:val="22"/>
          <w:szCs w:val="22"/>
        </w:rPr>
        <w:t xml:space="preserve">AI feasibility assessments — evaluate proposed AI/ML use cases for technical viability, data readiness, ROI potential, and organizational fit</w:t>
      </w:r>
    </w:p>
    <w:p>
      <w:pPr>
        <w:pStyle w:val="ListParagraph"/>
        <w:numPr>
          <w:ilvl w:val="0"/>
          <w:numId w:val="6"/>
        </w:numPr>
      </w:pPr>
      <w:r>
        <w:rPr>
          <w:rFonts w:ascii="Open Sans" w:cs="Open Sans" w:eastAsia="Open Sans" w:hAnsi="Open Sans"/>
          <w:color w:val="59595B"/>
          <w:sz w:val="22"/>
          <w:szCs w:val="22"/>
        </w:rPr>
        <w:t xml:space="preserve">AI prototype development — build proof-of-concept projects to validate AI approaches before full investment, including model selection, data pipeline design, and working demonstrations</w:t>
      </w:r>
    </w:p>
    <w:p>
      <w:pPr>
        <w:pStyle w:val="ListParagraph"/>
        <w:numPr>
          <w:ilvl w:val="0"/>
          <w:numId w:val="6"/>
        </w:numPr>
      </w:pPr>
      <w:r>
        <w:rPr>
          <w:rFonts w:ascii="Open Sans" w:cs="Open Sans" w:eastAsia="Open Sans" w:hAnsi="Open Sans"/>
          <w:color w:val="59595B"/>
          <w:sz w:val="22"/>
          <w:szCs w:val="22"/>
        </w:rPr>
        <w:t xml:space="preserve">AI application system requirements — define complete technical specifications, architecture, data requirements, integration points, and acceptance criteria for production AI applications</w:t>
      </w:r>
    </w:p>
    <w:p>
      <w:pPr>
        <w:pStyle w:val="ListParagraph"/>
        <w:numPr>
          <w:ilvl w:val="0"/>
          <w:numId w:val="6"/>
        </w:numPr>
      </w:pPr>
      <w:r>
        <w:rPr>
          <w:rFonts w:ascii="Open Sans" w:cs="Open Sans" w:eastAsia="Open Sans" w:hAnsi="Open Sans"/>
          <w:color w:val="59595B"/>
          <w:sz w:val="22"/>
          <w:szCs w:val="22"/>
        </w:rPr>
        <w:t xml:space="preserve">AI vendor and platform evaluation — assess and recommend AI platforms, APIs, and tooling (e.g., OpenAI, Azure AI, AWS Bedrock) aligned to Client’s requirements and budget</w:t>
      </w:r>
    </w:p>
    <w:p>
      <w:pPr>
        <w:pStyle w:val="ListParagraph"/>
        <w:numPr>
          <w:ilvl w:val="0"/>
          <w:numId w:val="6"/>
        </w:numPr>
      </w:pPr>
      <w:r>
        <w:rPr>
          <w:rFonts w:ascii="Open Sans" w:cs="Open Sans" w:eastAsia="Open Sans" w:hAnsi="Open Sans"/>
          <w:color w:val="59595B"/>
          <w:sz w:val="22"/>
          <w:szCs w:val="22"/>
        </w:rPr>
        <w:t xml:space="preserve">AI governance and responsible use guidance — policy recommendations for data privacy, bias mitigation, and ethical AI deployment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PRICING AND BILLING</w:t>
      </w:r>
    </w:p>
    <w:p>
      <w:pPr>
        <w:pStyle w:val="Heading2"/>
      </w:pPr>
      <w:r>
        <w:rPr>
          <w:rFonts w:ascii="Open Sans" w:cs="Open Sans" w:eastAsia="Open Sans" w:hAnsi="Open Sans"/>
          <w:color w:val="59595B"/>
          <w:sz w:val="22"/>
          <w:szCs w:val="22"/>
        </w:rPr>
        <w:t xml:space="preserve">3.1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Billing Increment</w:t>
            </w:r>
          </w:p>
        </w:tc>
        <w:tc>
          <w:tcPr>
            <w:tcW w:type="dxa" w:w="2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After-Hours Rate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$250.00/hr</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15-minute increments</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$350.00/hr</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3.2 Rate Definitions</w:t>
      </w:r>
    </w:p>
    <w:p>
      <w:pPr>
        <w:pStyle w:val="ListParagraph"/>
        <w:numPr>
          <w:ilvl w:val="0"/>
          <w:numId w:val="6"/>
        </w:numPr>
      </w:pPr>
      <w:r>
        <w:rPr>
          <w:rFonts w:ascii="Open Sans" w:cs="Open Sans" w:eastAsia="Open Sans" w:hAnsi="Open Sans"/>
          <w:b/>
          <w:bCs/>
          <w:color w:val="1A1A2E"/>
          <w:sz w:val="22"/>
          <w:szCs w:val="22"/>
        </w:rPr>
        <w:t xml:space="preserve">Normal Business Hours: </w:t>
      </w:r>
      <w:r>
        <w:rPr>
          <w:rFonts w:ascii="Open Sans" w:cs="Open Sans" w:eastAsia="Open Sans" w:hAnsi="Open Sans"/>
          <w:color w:val="59595B"/>
          <w:sz w:val="22"/>
          <w:szCs w:val="22"/>
        </w:rPr>
        <w:t xml:space="preserve">Monday through Friday, 8:00 AM – 6:00 PM Pacific Time, excluding U.S. federal holidays.</w:t>
      </w:r>
    </w:p>
    <w:p>
      <w:pPr>
        <w:pStyle w:val="ListParagraph"/>
        <w:numPr>
          <w:ilvl w:val="0"/>
          <w:numId w:val="6"/>
        </w:numPr>
      </w:pPr>
      <w:r>
        <w:rPr>
          <w:rFonts w:ascii="Open Sans" w:cs="Open Sans" w:eastAsia="Open Sans" w:hAnsi="Open Sans"/>
          <w:b/>
          <w:bCs/>
          <w:color w:val="1A1A2E"/>
          <w:sz w:val="22"/>
          <w:szCs w:val="22"/>
        </w:rPr>
        <w:t xml:space="preserve">After-Hours: </w:t>
      </w:r>
      <w:r>
        <w:rPr>
          <w:rFonts w:ascii="Open Sans" w:cs="Open Sans" w:eastAsia="Open Sans" w:hAnsi="Open Sans"/>
          <w:color w:val="59595B"/>
          <w:sz w:val="22"/>
          <w:szCs w:val="22"/>
        </w:rPr>
        <w:t xml:space="preserve">All hours outside Normal Business Hours, including weekends and U.S. federal holidays.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3.3 Weekly Invoicing</w:t>
      </w:r>
    </w:p>
    <w:p>
      <w:pPr>
        <w:ind w:left="360"/>
      </w:pPr>
      <w:r>
        <w:rPr>
          <w:rFonts w:ascii="Open Sans" w:cs="Open Sans" w:eastAsia="Open Sans" w:hAnsi="Open Sans"/>
          <w:color w:val="59595B"/>
          <w:sz w:val="22"/>
          <w:szCs w:val="22"/>
        </w:rPr>
        <w:t xml:space="preserve">(a) Technijian will issue a Weekly Out-of-Contract Invoice every Friday covering all CTO Advisory work performed during the preceding week (Monday through Friday).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Each weekly invoice will include a detailed breakdown of:</w:t>
      </w:r>
    </w:p>
    <w:p>
      <w:pPr>
        <w:pStyle w:val="ListParagraph"/>
        <w:numPr>
          <w:ilvl w:val="0"/>
          <w:numId w:val="2"/>
        </w:numPr>
      </w:pPr>
      <w:r>
        <w:rPr>
          <w:rFonts w:ascii="Open Sans" w:cs="Open Sans" w:eastAsia="Open Sans" w:hAnsi="Open Sans"/>
          <w:color w:val="59595B"/>
          <w:sz w:val="22"/>
          <w:szCs w:val="22"/>
        </w:rPr>
        <w:t xml:space="preserve">Date(s) of service</w:t>
      </w:r>
    </w:p>
    <w:p>
      <w:pPr>
        <w:pStyle w:val="ListParagraph"/>
        <w:numPr>
          <w:ilvl w:val="0"/>
          <w:numId w:val="2"/>
        </w:numPr>
      </w:pPr>
      <w:r>
        <w:rPr>
          <w:rFonts w:ascii="Open Sans" w:cs="Open Sans" w:eastAsia="Open Sans" w:hAnsi="Open Sans"/>
          <w:color w:val="59595B"/>
          <w:sz w:val="22"/>
          <w:szCs w:val="22"/>
        </w:rPr>
        <w:t xml:space="preserve">Description of activities performed</w:t>
      </w:r>
    </w:p>
    <w:p>
      <w:pPr>
        <w:pStyle w:val="ListParagraph"/>
        <w:numPr>
          <w:ilvl w:val="0"/>
          <w:numId w:val="2"/>
        </w:numPr>
      </w:pPr>
      <w:r>
        <w:rPr>
          <w:rFonts w:ascii="Open Sans" w:cs="Open Sans" w:eastAsia="Open Sans" w:hAnsi="Open Sans"/>
          <w:color w:val="59595B"/>
          <w:sz w:val="22"/>
          <w:szCs w:val="22"/>
        </w:rPr>
        <w:t xml:space="preserve">Time entries with hours billed per activity (in 15-minute increments)</w:t>
      </w:r>
    </w:p>
    <w:p>
      <w:pPr>
        <w:pStyle w:val="ListParagraph"/>
        <w:numPr>
          <w:ilvl w:val="0"/>
          <w:numId w:val="2"/>
        </w:numPr>
      </w:pPr>
      <w:r>
        <w:rPr>
          <w:rFonts w:ascii="Open Sans" w:cs="Open Sans" w:eastAsia="Open Sans" w:hAnsi="Open Sans"/>
          <w:color w:val="59595B"/>
          <w:sz w:val="22"/>
          <w:szCs w:val="22"/>
        </w:rPr>
        <w:t xml:space="preserve">Applicable rate (standard or after-hours)</w:t>
      </w:r>
    </w:p>
    <w:p>
      <w:pPr>
        <w:pStyle w:val="ListParagraph"/>
        <w:numPr>
          <w:ilvl w:val="0"/>
          <w:numId w:val="2"/>
        </w:numPr>
      </w:pPr>
      <w:r>
        <w:rPr>
          <w:rFonts w:ascii="Open Sans" w:cs="Open Sans" w:eastAsia="Open Sans" w:hAnsi="Open Sans"/>
          <w:color w:val="59595B"/>
          <w:sz w:val="22"/>
          <w:szCs w:val="22"/>
        </w:rPr>
        <w:t xml:space="preserve">Total hours and total amount for the week</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3.4 Payment Terms &amp; Dispute Window</w:t>
      </w:r>
    </w:p>
    <w:p>
      <w:pPr>
        <w:ind w:left="360"/>
      </w:pPr>
      <w:r>
        <w:rPr>
          <w:rFonts w:ascii="Open Sans" w:cs="Open Sans" w:eastAsia="Open Sans" w:hAnsi="Open Sans"/>
          <w:color w:val="59595B"/>
          <w:sz w:val="22"/>
          <w:szCs w:val="22"/>
        </w:rPr>
        <w:t xml:space="preserve">(a) All weekly invoices are Net 30 — due and payable within thirty (30) days of the invoice date.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Client has thirty (30) days from the invoice date to review and dispute any time entries or charges. Disputes must be submitted in writing (email acceptable) with specific identification of the disputed entries and the basis for the dispute.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Any invoice or line item not disputed within the 30-day dispute window shall be deemed accepted and payable in full.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Undisputed portions of an invoice remain due on the original Net 30 terms regardless of any pending dispute on other line items.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Late payments are subject to a late fee of 1.5% per month on the unpaid balance.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Technijian reserves the right to suspend services if any invoice remains unpaid for more than forty-five (45) days.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timely access to relevant systems, documentation, and personnel as reasonably required for Technijian to perform the advisory services;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a primary point of contact authorized to request services and approve recommendations;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Make decisions and provide approvals in a timely manner to avoid delays in advisory engagements;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Acknowledge that CTO Advisory services are advisory in nature and that Client retains sole responsibility for all final technology decisions and their implementation.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CONFIDENTIALITY</w:t>
      </w:r>
    </w:p>
    <w:p>
      <w:r>
        <w:rPr>
          <w:rFonts w:ascii="Open Sans" w:cs="Open Sans" w:eastAsia="Open Sans" w:hAnsi="Open Sans"/>
          <w:color w:val="59595B"/>
          <w:sz w:val="22"/>
          <w:szCs w:val="22"/>
        </w:rPr>
        <w:t xml:space="preserve">5.01. Each Party acknowledges that in connection with this Agreement it may receive Confidential Information of the other Party. “Confidential Information” means all non-public information disclosed by one Party to the other, whether orally or in writing, that is designated as confidential or that reasonably should be understood to be confidential given the nature of the information and the circumstances of disclosure.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5.02. Each Party agrees to: (i) hold the other Party’s Confidential Information in strict confidence; (ii) not disclose Confidential Information to any third party without the prior written consent of the disclosing Party; and (iii) use Confidential Information only for purposes of performing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5.03. The obligations of confidentiality shall survive termination of this Agreement for a period of two (2) years.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LIMITATION OF LIABILITY</w:t>
      </w:r>
    </w:p>
    <w:p>
      <w:r>
        <w:rPr>
          <w:rFonts w:ascii="Open Sans" w:cs="Open Sans" w:eastAsia="Open Sans" w:hAnsi="Open Sans"/>
          <w:color w:val="59595B"/>
          <w:sz w:val="22"/>
          <w:szCs w:val="22"/>
        </w:rPr>
        <w:t xml:space="preserve">6.01. CTO Advisory services are advisory in nature. Technijian provides recommendations based on professional judgment and industry best practices, but does not guarantee specific business outcomes from the adoption of its recommendations.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6.02. IN NO EVENT SHALL EITHER PARTY BE LIABLE TO THE OTHER FOR ANY INDIRECT, INCIDENTAL, SPECIAL, CONSEQUENTIAL, OR PUNITIVE DAMAGES ARISING OUT OF OR RELATED TO THIS AGREEMENT, REGARDLESS OF THE FORM OF ACTION OR THEORY OF LIABILITY.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6.03. Technijian’s total aggregate liability under this Agreement shall not exceed the total fees paid by Client to Technijian during the six (6) months preceding the event giving rise to the claim.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TERM AND TERMINATION</w:t>
      </w:r>
    </w:p>
    <w:p>
      <w:r>
        <w:rPr>
          <w:rFonts w:ascii="Open Sans" w:cs="Open Sans" w:eastAsia="Open Sans" w:hAnsi="Open Sans"/>
          <w:color w:val="59595B"/>
          <w:sz w:val="22"/>
          <w:szCs w:val="22"/>
        </w:rPr>
        <w:t xml:space="preserve">7.01. This Agreement shall be effective as of the Effective Date and shall continue until terminated by either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Either Party may terminate this Agreement at any time by providing thirty (30) days’ written notice to the other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Upon termination, Client shall pay Technijian for all services rendered through the effective date of termination.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7.04. Sections 5 (Confidentiality), 6 (Limitation of Liability), and 8 (General Provisions) shall survive termination of this Agreement.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GENERAL PROVISIONS</w:t>
      </w:r>
    </w:p>
    <w:p>
      <w:r>
        <w:rPr>
          <w:rFonts w:ascii="Open Sans" w:cs="Open Sans" w:eastAsia="Open Sans" w:hAnsi="Open Sans"/>
          <w:color w:val="59595B"/>
          <w:sz w:val="22"/>
          <w:szCs w:val="22"/>
        </w:rPr>
        <w:t xml:space="preserve">8.01. Independent Contractor. Technijian is an independent contractor. Nothing in this Agreement creates an employment, agency, joint venture, or partnership relationship between the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Governing Law. This Agreement shall be governed by and construed in accordance with the laws of the State of California, without regard to its conflicts of law provisions.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Entire Agreement. This Agreement constitutes the entire agreement between the Parties with respect to its subject matter and supersedes all prior or contemporaneous oral or written agreements.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Amendments. This Agreement may not be modified except by a written instrument signed by both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8.05. Notices. All notices under this Agreement shall be in writing and delivered by email with read receipt or by certified mail to the addresses specified in this Agreement.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r>
        <w:rPr>
          <w:rFonts w:ascii="Open Sans" w:cs="Open Sans" w:eastAsia="Open Sans" w:hAnsi="Open Sans"/>
          <w:color w:val="59595B"/>
          <w:sz w:val="22"/>
          <w:szCs w:val="22"/>
        </w:rPr>
        <w:t xml:space="preserve">IN WITNESS WHEREOF, the Parties have executed this Agreement as of the Effective Date.</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w:t>
      </w:r>
      <w:r>
        <w:rPr>
          <w:rFonts w:ascii="Open Sans" w:cs="Open Sans" w:eastAsia="Open Sans" w:hAnsi="Open Sans"/>
          <w:b/>
          <w:bCs/>
          <w:color w:val="1A1A2E"/>
          <w:sz w:val="22"/>
          <w:szCs w:val="22"/>
        </w:rPr>
        <w:t xml:space="preserve">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w:t>
      </w:r>
      <w:r>
        <w:rPr>
          <w:rFonts w:ascii="Open Sans" w:cs="Open Sans" w:eastAsia="Open Sans" w:hAnsi="Open Sans"/>
          <w:b/>
          <w:bCs/>
          <w:color w:val="1A1A2E"/>
          <w:sz w:val="22"/>
          <w:szCs w:val="22"/>
        </w:rPr>
        <w:t xml:space="preserve">Chief Executive Officer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JVR SHEETMETAL AND FABRICATION DBA TALSCO</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w:t>
      </w:r>
      <w:r>
        <w:rPr>
          <w:rFonts w:ascii="Open Sans" w:cs="Open Sans" w:eastAsia="Open Sans" w:hAnsi="Open Sans"/>
          <w:b/>
          <w:bCs/>
          <w:color w:val="1A1A2E"/>
          <w:sz w:val="22"/>
          <w:szCs w:val="22"/>
        </w:rPr>
        <w:t xml:space="preserve">Jose Castaneda Jr.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w:t>
      </w:r>
      <w:r>
        <w:rPr>
          <w:rFonts w:ascii="Open Sans" w:cs="Open Sans" w:eastAsia="Open Sans" w:hAnsi="Open Sans"/>
          <w:b/>
          <w:bCs/>
          <w:color w:val="1A1A2E"/>
          <w:sz w:val="22"/>
          <w:szCs w:val="22"/>
        </w:rPr>
        <w:t xml:space="preserve">General Manager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2026-03-31T17:20:12.565Z</dcterms:created>
  <dcterms:modified xsi:type="dcterms:W3CDTF">2026-03-31T17:20:12.567Z</dcterms:modified>
</cp:coreProperties>
</file>

<file path=docProps/custom.xml><?xml version="1.0" encoding="utf-8"?>
<Properties xmlns="http://schemas.openxmlformats.org/officeDocument/2006/custom-properties" xmlns:vt="http://schemas.openxmlformats.org/officeDocument/2006/docPropsVTypes"/>
</file>