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spacing w:after="200"/>
        <w:jc w:val="center"/>
      </w:pPr>
      <w:r>
        <w:drawing>
          <wp:inline distT="0" distB="0" distL="0" distR="0">
            <wp:extent cx="2381250" cy="600075"/>
            <wp:effectExtent t="0" r="0" b="0" l="0"/>
            <wp:docPr id="1" name="logo" descr="Technijian Inc." title="Techniji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Bdr>
          <w:bottom w:val="single" w:color="F67D4B" w:sz="2"/>
        </w:pBdr>
        <w:spacing w:after="100" w:before="100"/>
      </w:pPr>
    </w:p>
    <w:p>
      <w:pPr>
        <w:spacing w:after="200" w:before="400"/>
        <w:jc w:val="center"/>
      </w:pPr>
      <w:r>
        <w:rPr>
          <w:rFonts w:ascii="Open Sans" w:cs="Open Sans" w:eastAsia="Open Sans" w:hAnsi="Open Sans"/>
          <w:b/>
          <w:bCs/>
          <w:color w:val="1A1A2E"/>
          <w:sz w:val="48"/>
          <w:szCs w:val="48"/>
        </w:rPr>
        <w:t xml:space="preserve">Statement of Work</w:t>
      </w:r>
    </w:p>
    <w:p>
      <w:pPr>
        <w:spacing w:after="400"/>
        <w:jc w:val="center"/>
      </w:pPr>
      <w:r>
        <w:rPr>
          <w:rFonts w:ascii="Open Sans" w:cs="Open Sans" w:eastAsia="Open Sans" w:hAnsi="Open Sans"/>
          <w:color w:val="59595B"/>
          <w:sz w:val="24"/>
          <w:szCs w:val="24"/>
        </w:rPr>
        <w:t xml:space="preserve">VDI-to-Managed-Device Migration — American Fundstars Financial Group LLC</w:t>
      </w:r>
    </w:p>
    <w:p>
      <w:pPr>
        <w:pBdr>
          <w:bottom w:val="single" w:color="F67D4B" w:sz="2"/>
        </w:pBdr>
        <w:spacing w:after="100" w:before="100"/>
      </w:pPr>
    </w:p>
    <w:p>
      <w:pPr>
        <w:spacing w:after="6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spacing w:after="200"/>
        <w:jc w:val="center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May 1, 2026</w:t>
      </w:r>
    </w:p>
    <w:p>
      <w:pPr>
        <w:spacing w:after="4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jc w:val="center"/>
      </w:pPr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Technijian, Inc.</w:t>
      </w:r>
    </w:p>
    <w:p>
      <w:pPr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18 Technology Dr., Ste 141  |  Irvine, CA 92618  |  949.379.8499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STATEMENT OF WORK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SOW Number: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SOW-AFFG-004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Title: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VDI-to-Managed-Device Migration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Effective Date: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May 1, 2026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Parent Agreement: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MSA-AFFG-2026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Source: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AFFG Managed Device Strategy (REF: AFFG-MDS-2026-04, April 2026)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Regulatory Scope: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SEC Reg S-P (2024 Amendments), FINRA Rule 3110, FINRA Rule 4370, SEC Rule 17a-4, NIST SP 800-53 Rev 5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This Statement of Work (“SOW”) is entered into by and between: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Technijian, Inc. (“Technijian”)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18 Technology Drive, Suite 141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Irvine, California 92618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and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American Fundstars Financial Group LLC (“Client” or “AFFG”)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 Park Plaza, Suite 210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Irvine, California 92618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Primary Contact: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Iris Liu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Supersedes: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SOW-AFFG-003 (IT Compliance &amp; VDI Implementation). Upon completion of this SOW, the Horizon VDI infrastructure deployed under SOW-AFFG-003 Phase 1 will be decommissioned. All compliance controls previously enforced via VDI are migrated to managed endpoints with CloudBrink ZTNA. The monthly recurring charges in Schedule A of MSA-AFFG-2026 will be amended per Section 8 of this SOW.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1. PROJECT OVERVIEW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will deliver a 6-phase implementation that migrates AFFG from the Technijian Horizon VDI environment (deployed under SOW-AFFG-003) to a managed-device model using company-owned, Intune-managed laptops and phones with CloudBrink Zero Trust Network Access (ZTNA). This migration maintains the identical SEC/FINRA compliance posture established under SOW-AFFG-003 while eliminating VDI hosting costs, improving user experience, and enabling secure access from any location.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1.1 Objectives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Enroll 9 company laptops in Microsoft Intune via Windows Autopilot with full endpoint security stack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Deploy CloudBrink ZTNA to replace VDI egress IP whitelist with device-posture-based access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Migrate MyAudit UAM+DLP, SSO/2FA gateway, and Credential Manager from VDI to managed endpoints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Enroll 9 company phones in Intune MDM with App Protection (MAM) policies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Execute controlled VDI-to-managed-device migration with parallel operation window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Decommission Horizon VDI infrastructure and amend Schedule A for monthly savings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1.2 Exclusions</w:t>
      </w:r>
    </w:p>
    <w:p>
      <w:pPr>
        <w:pStyle w:val="ListParagraph"/>
        <w:numPr>
          <w:ilvl w:val="0"/>
          <w:numId w:val="3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CloudBrink per-user subscription licensing (procured directly by AFFG)</w:t>
      </w:r>
    </w:p>
    <w:p>
      <w:pPr>
        <w:pStyle w:val="ListParagraph"/>
        <w:numPr>
          <w:ilvl w:val="0"/>
          <w:numId w:val="3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Hardware procurement (AFFG provides company laptops and phones)</w:t>
      </w:r>
    </w:p>
    <w:p>
      <w:pPr>
        <w:pStyle w:val="ListParagraph"/>
        <w:numPr>
          <w:ilvl w:val="0"/>
          <w:numId w:val="3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My Archive (AFFG operates own email-archiving platform)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2. IMPLEMENTATION SCOPE</w:t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1: Endpoint Foundation (Weeks 1–4)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8 tickets  |  26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Configure Intune Autopilot, compliance policies, device configuration profiles, enroll and image all 9 laptops, deploy full security stack (CrowdStrike, Huntress, DNS, Patch Mgmt, ScreenConnect), MyAudit UAM+DLP, SSO/2FA gateway, and Credential Manager on all managed laptops.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1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AFFG-004-001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Autopilot Configuration &amp; Enrollment Profiles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AFFG-004-002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Device Compliance Policies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AFFG-004-003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Device Configuration Profiles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AFFG-004-004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Laptop Autopilot Enrollment &amp; Imaging (9 Devices)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AFFG-004-005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Endpoint Security Stack Deployment (9 Laptops)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AFFG-004-006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MyAudit UAM+DLP Agent Deployment on Managed Laptops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AFFG-004-007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SSO/2FA Gateway Deployment on Managed Endpoints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AFFG-004-008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Credential Manager Deployment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26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2: Access Control (Weeks 3–6)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5 tickets  |  16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Configure Entra Conditional Access (require compliant device, block legacy auth, require MFA), deploy CloudBrink ZTNA (tenant, connector, agent on 9 laptops, per-app policies), migrate Schwab and IBKR from IP whitelist to ZTNA.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2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AFFG-004-009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Conditional Access Policy Suite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AFFG-004-010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CloudBrink ZTNA Tenant &amp; Connector Setup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AFFG-004-011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CloudBrink Agent Deployment to 9 Managed Laptops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AFFG-004-012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CloudBrink Access Policies &amp; Micro-Segmentation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AFFG-004-013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Schwab &amp; IBKR Access Migration (IP Whitelist to ZTNA)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16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3: Mobile Device Control (Weeks 5–8)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3 tickets  |  8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Enroll 9 company phones in Intune MDM, deploy App Protection (MAM) policies, configure remote wipe and termination procedures.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3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AFFG-004-014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MDM Enrollment for Company Phones (9 Devices)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AFFG-004-015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App Protection (MAM) Policies for Mobile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AFFG-004-016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 Remote Wipe &amp; Termination Procedures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8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4: Migration &amp; Cutover (Weeks 7–12)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4 tickets  |  17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Migrate data from VDI to managed laptops, user training, 2-week parallel operation window, VDI decommission and cleanup.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4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AFFG-004-017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VDI-to-Managed-Device Data Migration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AFFG-004-018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User Training — Managed Device Workflow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AFFG-004-019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Parallel Operation Window (VDI + Managed Devices)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AFFG-004-020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VDI Decommission &amp; Cleanup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17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5: Monitoring &amp; Validation (Weeks 11–14)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4 tickets  |  13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Expand monitoring to device fleet + CloudBrink + mobile, configure mobile device audit, end-to-end security validation, post-migration compliance gap assessment.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5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AFFG-004-021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Monitoring Expansion — Device Fleet &amp; CloudBrink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AFFG-004-022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 Mobile Device Audit Configuration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AFFG-004-023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End-to-End Security Validation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AFFG-004-024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Post-Migration Compliance Gap Assessment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13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6: Documentation Update (Weeks 13–16)</w:t>
      </w:r>
    </w:p>
    <w:p>
      <w:r>
        <w:rPr>
          <w:rFonts w:ascii="Open Sans" w:cs="Open Sans" w:eastAsia="Open Sans" w:hAnsi="Open Sans"/>
          <w:b/>
          <w:bCs/>
          <w:color w:val="1EAAC8"/>
          <w:sz w:val="22"/>
          <w:szCs w:val="22"/>
        </w:rPr>
        <w:t xml:space="preserve">2 tickets  |  9 hours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Update all SOW-003 compliance documents for managed-device architecture, draft Schedule A amendment.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Phase 6 Tickets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1600"/>
        <w:gridCol w:w="960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Hours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AFFG-004-025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Update Compliance Documentation Suite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CHD-TS1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AFFG-004-026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Schedule A Amendment — Remove VDI / Add Managed Device Services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IRV-TS1</w:t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Phase 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9</w:t>
            </w:r>
          </w:p>
        </w:tc>
      </w:tr>
    </w:tbl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3. CONTROL-TO-CITATION MAP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The following table maps each design component of the managed-device architecture to its control objective and the specific regulatory citations it satisfies: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3060"/>
      </w:tblGrid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Design Component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Control Objective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Citation(s)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Intune-managed company laptops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All 9 users on company-owned, encrypted, policy-enforced devices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248.30(a)(1)-(3); FINRA 3110(a)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Conditional Access + legacy auth block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Entra ID restricts M365 to compliant devices. IMAP/POP3/SMTP blocked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248.30(a)(3); NIST AC-3, IA-2(1)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CloudBrink ZTNA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Zero-trust access replaces IP whitelist. Device posture verified per session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248.30(a)(3); NIST AC-17, SC-7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 MyAudit (endpoint DLP)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Block USB, local download, print, clipboard, screen capture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248.30(a)(3); NIST AC-19, MP-7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 SSO/2FA gateway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Enforced, logged MFA on custodian portals and third-party SaaS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 (2024); NIST IA-2(1)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Intune MDM/MAM (company phones)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Phone enrollment, app containerization, remote wipe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Reg S-P 248.30(a)(1)-(3); NIST AC-19, MP-6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 Veeam Backup for M365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Immutable, non-rewriteable backup of full M365 tenant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SEC Rule 17a-4(b),(f); FINRA 4511</w:t>
            </w:r>
          </w:p>
        </w:tc>
      </w:tr>
      <w:tr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 monthly assessment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Detect drift; attested evidence of ongoing control operation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FINRA 3110(c); FINRA 3120</w:t>
            </w:r>
          </w:p>
        </w:tc>
      </w:tr>
    </w:tbl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4. DELIVERABLES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 Intune-managed company laptops with full Technijian security stack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CloudBrink ZTNA deployed with per-application micro-segmented access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Schwab and IBKR migrated from IP whitelist to CloudBrink ZTNA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Conditional Access: M365 restricted to compliant managed devices, legacy auth blocked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MyAudit UAM+DLP on all 9 managed laptops (replaces VDI-based deployment)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SSO/2FA gateway on all managed endpoints for custodian portals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 company phones enrolled in Intune MDM with App Protection policies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Updated compliance documentation suite reflecting managed-device architecture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Schedule A amendment reflecting monthly cost reduction</w:t>
      </w:r>
    </w:p>
    <w:p>
      <w:pPr>
        <w:pStyle w:val="ListParagraph"/>
        <w:numPr>
          <w:ilvl w:val="0"/>
          <w:numId w:val="4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Post-migration compliance gap assessment confirming equivalent regulatory posture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5. PRICING AND PAYMENT</w:t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5.1 Labor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1800"/>
        <w:gridCol w:w="29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Labor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US Tech Support (IRV-TS1)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$150/hr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24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$3,600.00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India Tech Support (CHD-TS1)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$45/hr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65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$2,925.00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89 hrs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$6,525.00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5.2 Payment Schedule</w:t>
      </w:r>
    </w:p>
    <w:tbl>
      <w:tblPr>
        <w:tblW w:type="dxa" w:w="93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60"/>
        <w:gridCol w:w="29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50% upon SOW execution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SOW signed by both parties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$3,262.50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25% upon Phase 4 completion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VDI decommissioned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$1,631.25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25% upon Phase 6 delivery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Documentation + Schedule A amendment accepted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$1,631.25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Total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$6,525.00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5.3 Payment Terms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All invoices are due and payable within thirty (30) days of the invoice date. Late payments are subject to a late fee of 1.5% per month on the unpaid balance.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6. ASSUMPTIONS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AFFG has procured 9 company laptops (Windows 11 Pro or Enterprise) suitable for Intune Autopilot enrollment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AFFG has procured 9 company phones (iOS or Android) for Intune MDM enrollment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AFFG has procured CloudBrink ZTNA per-user subscription licenses for 9 users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AFFG’s M365 tenant remains licensed at E3 or E5 (Intune, Conditional Access, DLP included)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The 7 VDI agents are available for managed-device migration and training during Weeks 7–10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Schwab Advisor Services and Interactive Brokers approve the transition from IP whitelist to CloudBrink ZTNA within their standard processing timelines</w:t>
      </w:r>
    </w:p>
    <w:p>
      <w:pPr>
        <w:pStyle w:val="ListParagraph"/>
        <w:numPr>
          <w:ilvl w:val="0"/>
          <w:numId w:val="5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All MyAudit UAM+DLP, SSO/2FA, and Credential Manager licenses are transferred from VDI to managed endpoints at no additional license cost during the transition period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7. EXCLUSIONS</w:t>
      </w:r>
    </w:p>
    <w:p>
      <w:pPr>
        <w:pStyle w:val="ListParagraph"/>
        <w:numPr>
          <w:ilvl w:val="0"/>
          <w:numId w:val="6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CloudBrink per-user subscription licensing (AFFG-procured)</w:t>
      </w:r>
    </w:p>
    <w:p>
      <w:pPr>
        <w:pStyle w:val="ListParagraph"/>
        <w:numPr>
          <w:ilvl w:val="0"/>
          <w:numId w:val="6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Hardware procurement (company laptops and phones)</w:t>
      </w:r>
    </w:p>
    <w:p>
      <w:pPr>
        <w:pStyle w:val="ListParagraph"/>
        <w:numPr>
          <w:ilvl w:val="0"/>
          <w:numId w:val="6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Microsoft 365 license costs (AFFG procures directly)</w:t>
      </w:r>
    </w:p>
    <w:p>
      <w:pPr>
        <w:pStyle w:val="ListParagraph"/>
        <w:numPr>
          <w:ilvl w:val="0"/>
          <w:numId w:val="6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My Archive (AFFG operates own archiving)</w:t>
      </w:r>
    </w:p>
    <w:p>
      <w:pPr>
        <w:pStyle w:val="ListParagraph"/>
        <w:numPr>
          <w:ilvl w:val="0"/>
          <w:numId w:val="6"/>
        </w:numPr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Any remediation beyond the scope described; significant issues discovered during migration scoped as separate change order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8. MONTHLY COST IMPACT</w:t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8.1 Current vs. Proposed Monthly Recurring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Current Monthly (SOW-003 implemented, VDI model) = $5,770.45/mo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1800"/>
        <w:gridCol w:w="19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Current Monthly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Proposed Monthly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Horizon VDI Workstations (7 agents)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$2,433.20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-$2,433.20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Managed Laptop Add-Ons (9 endpoints)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$1,125.90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+$1,125.90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Physical Desktop Security (9)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$238.50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$238.50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All-User Services (31 M365 users)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$441.75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$441.75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Domain / Site / IP Services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$162.00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$162.00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Production Storage (VDI profiles)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$400.00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-$400.00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Backup Storage (V365 / SEC 17a-4)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$100.00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$100.00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Virtual Staff Support (unchanged)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$1,995.00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$1,995.00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TOTAL MONTHLY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$5,770.45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$4,063.15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-$1,707.30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8.2 Managed Laptop Add-Ons Detail (NEW — 9 endpoints)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800"/>
        <w:gridCol w:w="1400"/>
        <w:gridCol w:w="13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MyAudit UAM+DLP / 1-Year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AMDLP1Y</w:t>
            </w:r>
          </w:p>
        </w:tc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$108.10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$972.90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SSO / Multi-Factor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SSO-2FA</w:t>
            </w:r>
          </w:p>
        </w:tc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$12.00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$108.00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Credential Manager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CRM</w:t>
            </w:r>
          </w:p>
        </w:tc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$5.00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$45.00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Subtotal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$1,125.90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i/>
          <w:iCs/>
          <w:color w:val="59595B"/>
          <w:sz w:val="22"/>
          <w:szCs w:val="22"/>
        </w:rPr>
        <w:t xml:space="preserve">Note: Intune management included in M365 E3. CloudBrink subscription AFFG-procured. Physical desktop security stack ($26.50/desktop) unchanged.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9. CHANGE MANAGEMENT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9.01. Any changes to the scope, schedule, or pricing of this SOW must be documented in a written Change Order signed by both Parties before work on the change begins.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9.02. If Client requests work outside the defined scope, Technijian shall provide a Change Order detailing the additional work, estimated hours, and cost impact.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9.03. Technijian shall not proceed with out-of-scope work without an approved Change Order, except in cases where delay would result in harm to Client’s systems, in which case Technijian shall notify Client as soon as practicable.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10. ACCEPTANCE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10.01. Upon completion of each phase, Technijian shall notify Client in writing that the deliverables are ready for review.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10.02. Client shall review the deliverables and provide written acceptance or a detailed description of deficiencies within five (5) business days.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10.03. If Client does not respond within the review period, the deliverables shall be deemed accepted.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10.04. If deficiencies are identified, Technijian shall correct them and resubmit for review. This process shall repeat until acceptance is achieved or the Parties agree on a resolution.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11. GOVERNING TERMS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11.01. This SOW is governed by the Master Service Agreement MSA-AFFG-2026 between the Parties. In the event of a conflict between this SOW and the MSA, the MSA shall prevail unless this SOW expressly states otherwise.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SIGNATURES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TECHNIJIAN, INC.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By: ___________________________________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Name: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Title: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Date: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AMERICAN FUNDSTARS FINANCIAL GROUP LLC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By: ___________________________________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Name: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Title: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Date: _________________________________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lowerLetter"/>
      <w:lvlText w:val="(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Open Sans" w:cs="Open Sans" w:eastAsia="Open Sans" w:hAnsi="Open Sans"/>
      <w:b/>
      <w:bCs/>
      <w:color w:val="006D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Open Sans" w:cs="Open Sans" w:eastAsia="Open Sans" w:hAnsi="Open Sans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Open Sans" w:cs="Open Sans" w:eastAsia="Open Sans" w:hAnsi="Open Sans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7ab963d63198c507d4d2f60f27ab9adb7b80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2026-04-16T19:58:48.420Z</dcterms:created>
  <dcterms:modified xsi:type="dcterms:W3CDTF">2026-04-16T19:58:48.422Z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