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spacing w:before="0" w:after="0" w:line="120"/>
            </w:pPr>
            <w:r/>
          </w:p>
        </w:tc>
      </w:tr>
    </w:tbl>
    <w:p>
      <w:pPr>
        <w:spacing w:after="0"/>
      </w:pPr>
    </w:p>
    <w:p>
      <w:pPr>
        <w:spacing w:after="0"/>
      </w:pPr>
    </w:p>
    <w:p>
      <w:pPr>
        <w:spacing w:after="0"/>
      </w:pPr>
    </w:p>
    <w:p>
      <w:pPr>
        <w:spacing w:after="0"/>
      </w:pPr>
    </w:p>
    <w:p>
      <w:pPr>
        <w:spacing w:after="0"/>
      </w:pPr>
    </w:p>
    <w:p>
      <w:pPr>
        <w:spacing w:after="0"/>
      </w:pPr>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png"/>
                    <pic:cNvPicPr/>
                  </pic:nvPicPr>
                  <pic:blipFill>
                    <a:blip r:embed="rId9"/>
                    <a:stretch>
                      <a:fillRect/>
                    </a:stretch>
                  </pic:blipFill>
                  <pic:spPr>
                    <a:xfrm>
                      <a:off x="0" y="0"/>
                      <a:ext cx="2743200" cy="571500"/>
                    </a:xfrm>
                    <a:prstGeom prst="rect"/>
                  </pic:spPr>
                </pic:pic>
              </a:graphicData>
            </a:graphic>
          </wp:inline>
        </w:drawing>
      </w:r>
    </w:p>
    <w:p>
      <w:pPr>
        <w:spacing w:before="240" w:after="240"/>
        <w:jc w:val="center"/>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120"/>
        <w:gridCol w:w="3120"/>
        <w:gridCol w:w="3120"/>
      </w:tblGrid>
      <w:tr>
        <w:tc>
          <w:tcPr>
            <w:tcW w:type="dxa" w:w="3240"/>
          </w:tcPr>
          <w:p>
            <w:pPr>
              <w:spacing w:before="0" w:after="0"/>
            </w:pPr>
            <w:r/>
          </w:p>
        </w:tc>
        <w:tc>
          <w:tcPr>
            <w:tcW w:type="dxa" w:w="3600"/>
            <w:shd w:fill="F67D4B" w:val="clear"/>
          </w:tcPr>
          <w:p>
            <w:pPr>
              <w:spacing w:before="0" w:after="0"/>
            </w:pPr>
            <w:r/>
          </w:p>
        </w:tc>
        <w:tc>
          <w:tcPr>
            <w:tcW w:type="dxa" w:w="3240"/>
          </w:tcPr>
          <w:p>
            <w:pPr>
              <w:spacing w:before="0" w:after="0"/>
            </w:pPr>
            <w:r/>
          </w:p>
        </w:tc>
      </w:tr>
    </w:tbl>
    <w:p>
      <w:pPr>
        <w:spacing w:before="400" w:after="160"/>
        <w:jc w:val="center"/>
      </w:pPr>
      <w:r>
        <w:rPr>
          <w:rFonts w:ascii="Open Sans" w:hAnsi="Open Sans"/>
          <w:b/>
          <w:i w:val="0"/>
          <w:color w:val="1A1A2E"/>
          <w:sz w:val="52"/>
        </w:rPr>
        <w:t>Executive Summary</w:t>
      </w:r>
    </w:p>
    <w:p>
      <w:pPr>
        <w:spacing w:after="80"/>
        <w:jc w:val="center"/>
      </w:pPr>
      <w:r>
        <w:rPr>
          <w:rFonts w:ascii="Open Sans" w:hAnsi="Open Sans"/>
          <w:b w:val="0"/>
          <w:i w:val="0"/>
          <w:color w:val="59595B"/>
          <w:sz w:val="28"/>
        </w:rPr>
        <w:t>Managed Desktop Security, Email Protection &amp; Support Services</w:t>
      </w:r>
    </w:p>
    <w:p>
      <w:pPr>
        <w:spacing w:after="40"/>
        <w:jc w:val="center"/>
      </w:pPr>
      <w:r>
        <w:rPr>
          <w:rFonts w:ascii="Open Sans" w:hAnsi="Open Sans"/>
          <w:b w:val="0"/>
          <w:i w:val="0"/>
          <w:color w:val="59595B"/>
          <w:sz w:val="24"/>
        </w:rPr>
        <w:t xml:space="preserve">Prepared for </w:t>
      </w:r>
      <w:r>
        <w:rPr>
          <w:rFonts w:ascii="Open Sans" w:hAnsi="Open Sans"/>
          <w:b/>
          <w:i w:val="0"/>
          <w:color w:val="006DB6"/>
          <w:sz w:val="24"/>
        </w:rPr>
        <w:t>Culp Construction Company</w:t>
      </w:r>
    </w:p>
    <w:p>
      <w:pPr>
        <w:spacing w:after="0"/>
        <w:jc w:val="center"/>
      </w:pPr>
      <w:r>
        <w:rPr>
          <w:rFonts w:ascii="Open Sans" w:hAnsi="Open Sans"/>
          <w:b w:val="0"/>
          <w:i w:val="0"/>
          <w:color w:val="59595B"/>
          <w:sz w:val="22"/>
        </w:rPr>
        <w:t>May 2026</w:t>
      </w:r>
    </w:p>
    <w:p>
      <w:pPr>
        <w:spacing w:after="0"/>
      </w:pPr>
    </w:p>
    <w:p>
      <w:pPr>
        <w:spacing w:after="0"/>
      </w:pPr>
    </w:p>
    <w:p>
      <w:pPr>
        <w:spacing w:after="0"/>
      </w:pPr>
    </w:p>
    <w:p>
      <w:pPr>
        <w:spacing w:after="0"/>
      </w:pPr>
    </w:p>
    <w:p>
      <w:pPr>
        <w:spacing w:after="0"/>
      </w:pPr>
    </w:p>
    <w:p>
      <w:pPr>
        <w:spacing w:after="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F67D4B" w:val="clear"/>
          </w:tcPr>
          <w:p>
            <w:pPr>
              <w:spacing w:before="0" w:after="0"/>
              <w:spacing w:before="0" w:after="0" w:line="120"/>
            </w:pPr>
            <w:r/>
          </w:p>
        </w:tc>
      </w:tr>
    </w:tbl>
    <w:p>
      <w:pPr>
        <w:spacing w:before="160"/>
        <w:jc w:val="center"/>
      </w:pPr>
      <w:r>
        <w:rPr>
          <w:rFonts w:ascii="Open Sans" w:hAnsi="Open Sans"/>
          <w:b w:val="0"/>
          <w:i/>
          <w:color w:val="59595B"/>
          <w:sz w:val="16"/>
        </w:rPr>
        <w:t>CONFIDENTIAL — For authorized use only</w:t>
      </w:r>
    </w:p>
    <w:p>
      <w:pPr>
        <w:spacing w:before="160"/>
        <w:jc w:val="center"/>
      </w:pPr>
      <w:r>
        <w:rPr>
          <w:rFonts w:ascii="Open Sans" w:hAnsi="Open Sans"/>
          <w:b w:val="0"/>
          <w:i w:val="0"/>
          <w:color w:val="59595B"/>
          <w:sz w:val="16"/>
        </w:rPr>
        <w:t>Technijian  |  18 Technology Dr., Ste 141, Irvine, CA 92618  |  949.379.8499  |  technijian.com</w:t>
      </w:r>
    </w:p>
    <w:p>
      <w:r>
        <w:br w:type="page"/>
      </w:r>
    </w:p>
    <w:p>
      <w:pPr>
        <w:spacing w:before="200" w:after="120"/>
        <w:pBdr>
          <w:bottom w:val="single" w:sz="8" w:space="2" w:color="006DB6"/>
        </w:pBdr>
      </w:pPr>
      <w:r>
        <w:rPr>
          <w:rFonts w:ascii="Open Sans" w:hAnsi="Open Sans"/>
          <w:b/>
          <w:i w:val="0"/>
          <w:color w:val="006DB6"/>
          <w:sz w:val="28"/>
        </w:rPr>
        <w:t>Overview</w:t>
      </w:r>
    </w:p>
    <w:p>
      <w:pPr>
        <w:spacing w:after="160"/>
      </w:pPr>
      <w:r>
        <w:rPr>
          <w:rFonts w:ascii="Open Sans" w:hAnsi="Open Sans"/>
          <w:b w:val="0"/>
          <w:i w:val="0"/>
          <w:color w:val="59595B"/>
          <w:sz w:val="20"/>
        </w:rPr>
        <w:t>Technijian proposes a comprehensive Managed Services Agreement for Culp Construction Company, delivering enterprise-grade desktop security, endpoint protection, email security, and dedicated virtual staff support. This solution is designed to secure and manage Culp Construction Company’s 1 users across 1 desktops, providing layered protection with predictable monthly costs.</w:t>
      </w:r>
    </w:p>
    <w:p>
      <w:pPr>
        <w:spacing w:after="160"/>
      </w:pPr>
      <w:r>
        <w:rPr>
          <w:rFonts w:ascii="Open Sans" w:hAnsi="Open Sans"/>
          <w:b w:val="0"/>
          <w:i w:val="0"/>
          <w:color w:val="59595B"/>
          <w:sz w:val="20"/>
        </w:rPr>
        <w:t>Upon engagement, Culp Construction Company will have a fully managed security and support infrastructure including next-generation endpoint detection and response, DNS-layer protection, automated patch management, advanced email threat prevention, and a blended US/offshore support team providing coverage across business hours and after-hours.</w:t>
      </w:r>
    </w:p>
    <w:p>
      <w:pPr>
        <w:spacing w:before="200" w:after="120"/>
        <w:pBdr>
          <w:bottom w:val="single" w:sz="8" w:space="2" w:color="006DB6"/>
        </w:pBdr>
      </w:pPr>
      <w:r>
        <w:rPr>
          <w:rFonts w:ascii="Open Sans" w:hAnsi="Open Sans"/>
          <w:b/>
          <w:i w:val="0"/>
          <w:color w:val="006DB6"/>
          <w:sz w:val="28"/>
        </w:rPr>
        <w:t>Current Environment</w:t>
      </w:r>
    </w:p>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2592"/>
            <w:shd w:fill="006DB6" w:val="clear"/>
          </w:tcPr>
          <w:p>
            <w:r/>
            <w:r>
              <w:rPr>
                <w:rFonts w:ascii="Open Sans" w:hAnsi="Open Sans"/>
                <w:b/>
                <w:i w:val="0"/>
                <w:color w:val="FFFFFF"/>
                <w:sz w:val="18"/>
              </w:rPr>
              <w:t>Category</w:t>
            </w:r>
          </w:p>
        </w:tc>
        <w:tc>
          <w:tcPr>
            <w:tcW w:type="dxa" w:w="6048"/>
            <w:shd w:fill="006DB6" w:val="clear"/>
          </w:tcPr>
          <w:p>
            <w:r/>
            <w:r>
              <w:rPr>
                <w:rFonts w:ascii="Open Sans" w:hAnsi="Open Sans"/>
                <w:b/>
                <w:i w:val="0"/>
                <w:color w:val="FFFFFF"/>
                <w:sz w:val="18"/>
              </w:rPr>
              <w:t>Details</w:t>
            </w:r>
          </w:p>
        </w:tc>
      </w:tr>
      <w:tr>
        <w:tc>
          <w:tcPr>
            <w:tcW w:type="dxa" w:w="2592"/>
          </w:tcPr>
          <w:p>
            <w:r/>
            <w:r>
              <w:rPr>
                <w:rFonts w:ascii="Open Sans" w:hAnsi="Open Sans"/>
                <w:b w:val="0"/>
                <w:i w:val="0"/>
                <w:color w:val="59595B"/>
                <w:sz w:val="18"/>
              </w:rPr>
              <w:t>Active Users</w:t>
            </w:r>
          </w:p>
        </w:tc>
        <w:tc>
          <w:tcPr>
            <w:tcW w:type="dxa" w:w="6048"/>
          </w:tcPr>
          <w:p>
            <w:r/>
            <w:r>
              <w:rPr>
                <w:rFonts w:ascii="Open Sans" w:hAnsi="Open Sans"/>
                <w:b w:val="0"/>
                <w:i w:val="0"/>
                <w:color w:val="59595B"/>
                <w:sz w:val="18"/>
              </w:rPr>
              <w:t>1</w:t>
            </w:r>
          </w:p>
        </w:tc>
      </w:tr>
      <w:tr>
        <w:tc>
          <w:tcPr>
            <w:tcW w:type="dxa" w:w="2592"/>
          </w:tcPr>
          <w:p>
            <w:r/>
            <w:r>
              <w:rPr>
                <w:rFonts w:ascii="Open Sans" w:hAnsi="Open Sans"/>
                <w:b w:val="0"/>
                <w:i w:val="0"/>
                <w:color w:val="59595B"/>
                <w:sz w:val="18"/>
              </w:rPr>
              <w:t>Managed Desktops</w:t>
            </w:r>
          </w:p>
        </w:tc>
        <w:tc>
          <w:tcPr>
            <w:tcW w:type="dxa" w:w="6048"/>
          </w:tcPr>
          <w:p>
            <w:r/>
            <w:r>
              <w:rPr>
                <w:rFonts w:ascii="Open Sans" w:hAnsi="Open Sans"/>
                <w:b w:val="0"/>
                <w:i w:val="0"/>
                <w:color w:val="59595B"/>
                <w:sz w:val="18"/>
              </w:rPr>
              <w:t>1</w:t>
            </w:r>
          </w:p>
        </w:tc>
      </w:tr>
      <w:tr>
        <w:tc>
          <w:tcPr>
            <w:tcW w:type="dxa" w:w="2592"/>
          </w:tcPr>
          <w:p>
            <w:r/>
            <w:r>
              <w:rPr>
                <w:rFonts w:ascii="Open Sans" w:hAnsi="Open Sans"/>
                <w:b w:val="0"/>
                <w:i w:val="0"/>
                <w:color w:val="59595B"/>
                <w:sz w:val="18"/>
              </w:rPr>
              <w:t>Office Locations</w:t>
            </w:r>
          </w:p>
        </w:tc>
        <w:tc>
          <w:tcPr>
            <w:tcW w:type="dxa" w:w="6048"/>
          </w:tcPr>
          <w:p>
            <w:r/>
            <w:r>
              <w:rPr>
                <w:rFonts w:ascii="Open Sans" w:hAnsi="Open Sans"/>
                <w:b w:val="0"/>
                <w:i w:val="0"/>
                <w:color w:val="59595B"/>
                <w:sz w:val="18"/>
              </w:rPr>
              <w:t>1</w:t>
            </w:r>
          </w:p>
        </w:tc>
      </w:tr>
      <w:tr>
        <w:tc>
          <w:tcPr>
            <w:tcW w:type="dxa" w:w="2592"/>
          </w:tcPr>
          <w:p>
            <w:r/>
            <w:r>
              <w:rPr>
                <w:rFonts w:ascii="Open Sans" w:hAnsi="Open Sans"/>
                <w:b w:val="0"/>
                <w:i w:val="0"/>
                <w:color w:val="59595B"/>
                <w:sz w:val="18"/>
              </w:rPr>
              <w:t>Cloud Platform</w:t>
            </w:r>
          </w:p>
        </w:tc>
        <w:tc>
          <w:tcPr>
            <w:tcW w:type="dxa" w:w="6048"/>
          </w:tcPr>
          <w:p>
            <w:r/>
            <w:r>
              <w:rPr>
                <w:rFonts w:ascii="Open Sans" w:hAnsi="Open Sans"/>
                <w:b w:val="0"/>
                <w:i w:val="0"/>
                <w:color w:val="59595B"/>
                <w:sz w:val="18"/>
              </w:rPr>
              <w:t>Microsoft 365 (Exchange Online, SharePoint, OneDrive, Teams)</w:t>
            </w:r>
          </w:p>
        </w:tc>
      </w:tr>
      <w:tr>
        <w:tc>
          <w:tcPr>
            <w:tcW w:type="dxa" w:w="2592"/>
          </w:tcPr>
          <w:p>
            <w:r/>
            <w:r>
              <w:rPr>
                <w:rFonts w:ascii="Open Sans" w:hAnsi="Open Sans"/>
                <w:b w:val="0"/>
                <w:i w:val="0"/>
                <w:color w:val="59595B"/>
                <w:sz w:val="18"/>
              </w:rPr>
              <w:t>Industry</w:t>
            </w:r>
          </w:p>
        </w:tc>
        <w:tc>
          <w:tcPr>
            <w:tcW w:type="dxa" w:w="6048"/>
          </w:tcPr>
          <w:p>
            <w:r/>
            <w:r>
              <w:rPr>
                <w:rFonts w:ascii="Open Sans" w:hAnsi="Open Sans"/>
                <w:b w:val="0"/>
                <w:i w:val="0"/>
                <w:color w:val="59595B"/>
                <w:sz w:val="18"/>
              </w:rPr>
              <w:t>General Contracting / Construction</w:t>
            </w:r>
          </w:p>
        </w:tc>
      </w:tr>
      <w:tr>
        <w:tc>
          <w:tcPr>
            <w:tcW w:type="dxa" w:w="2592"/>
          </w:tcPr>
          <w:p>
            <w:r/>
            <w:r>
              <w:rPr>
                <w:rFonts w:ascii="Open Sans" w:hAnsi="Open Sans"/>
                <w:b w:val="0"/>
                <w:i w:val="0"/>
                <w:color w:val="59595B"/>
                <w:sz w:val="18"/>
              </w:rPr>
              <w:t>Website</w:t>
            </w:r>
          </w:p>
        </w:tc>
        <w:tc>
          <w:tcPr>
            <w:tcW w:type="dxa" w:w="6048"/>
          </w:tcPr>
          <w:p>
            <w:r/>
            <w:r>
              <w:rPr>
                <w:rFonts w:ascii="Open Sans" w:hAnsi="Open Sans"/>
                <w:b w:val="0"/>
                <w:i w:val="0"/>
                <w:color w:val="59595B"/>
                <w:sz w:val="18"/>
              </w:rPr>
              <w:t>culpco.com</w:t>
            </w:r>
          </w:p>
        </w:tc>
      </w:tr>
    </w:tbl>
    <w:p>
      <w:pPr>
        <w:spacing w:after="80"/>
      </w:pPr>
    </w:p>
    <w:p>
      <w:pPr>
        <w:spacing w:before="200" w:after="120"/>
        <w:pBdr>
          <w:bottom w:val="single" w:sz="8" w:space="2" w:color="006DB6"/>
        </w:pBdr>
      </w:pPr>
      <w:r>
        <w:rPr>
          <w:rFonts w:ascii="Open Sans" w:hAnsi="Open Sans"/>
          <w:b/>
          <w:i w:val="0"/>
          <w:color w:val="006DB6"/>
          <w:sz w:val="28"/>
        </w:rPr>
        <w:t>Why Each Service</w:t>
      </w:r>
    </w:p>
    <w:p>
      <w:pPr>
        <w:spacing w:after="160"/>
      </w:pPr>
      <w:r>
        <w:rPr>
          <w:rFonts w:ascii="Open Sans" w:hAnsi="Open Sans"/>
          <w:b w:val="0"/>
          <w:i w:val="0"/>
          <w:color w:val="59595B"/>
          <w:sz w:val="20"/>
        </w:rPr>
        <w:t>Every component in this proposal addresses a specific risk or operational need for Culp Construction Company’s environment. Below is the justification for each service.</w:t>
      </w:r>
    </w:p>
    <w:p>
      <w:pPr>
        <w:spacing w:before="160" w:after="40"/>
      </w:pPr>
      <w:r>
        <w:rPr>
          <w:rFonts w:ascii="Open Sans" w:hAnsi="Open Sans"/>
          <w:b/>
          <w:i w:val="0"/>
          <w:color w:val="006DB6"/>
          <w:sz w:val="22"/>
        </w:rPr>
        <w:t>CrowdStrike Falcon EDR</w:t>
      </w:r>
    </w:p>
    <w:p>
      <w:pPr>
        <w:spacing w:after="40"/>
      </w:pPr>
      <w:r>
        <w:rPr>
          <w:rFonts w:ascii="Open Sans" w:hAnsi="Open Sans"/>
          <w:b w:val="0"/>
          <w:i/>
          <w:color w:val="1A1A2E"/>
          <w:sz w:val="20"/>
        </w:rPr>
        <w:t>Next-generation endpoint detection and response deployed on all managed desktops.</w:t>
      </w:r>
    </w:p>
    <w:p>
      <w:pPr>
        <w:spacing w:after="120"/>
      </w:pPr>
      <w:r>
        <w:rPr>
          <w:rFonts w:ascii="Open Sans" w:hAnsi="Open Sans"/>
          <w:b/>
          <w:i w:val="0"/>
          <w:color w:val="F67D4B"/>
          <w:sz w:val="20"/>
        </w:rPr>
        <w:t xml:space="preserve">Why: </w:t>
      </w:r>
      <w:r>
        <w:rPr>
          <w:rFonts w:ascii="Open Sans" w:hAnsi="Open Sans"/>
          <w:b w:val="0"/>
          <w:i w:val="0"/>
          <w:color w:val="59595B"/>
          <w:sz w:val="20"/>
        </w:rPr>
        <w:t>With 1 desktops handling sensitive bid documents, project financials, and subcontractor records, Culp Construction Company needs real-time threat detection that goes beyond traditional antivirus. CrowdStrike uses AI-driven behavioral analysis to detect ransomware, fileless attacks, and zero-day exploits before they execute. Construction companies are increasingly targeted by ransomware groups due to the volume of financial data they process — bid proposals, payment applications, and subcontractor agreements.</w:t>
      </w:r>
    </w:p>
    <w:p>
      <w:pPr>
        <w:spacing w:before="160" w:after="40"/>
      </w:pPr>
      <w:r>
        <w:rPr>
          <w:rFonts w:ascii="Open Sans" w:hAnsi="Open Sans"/>
          <w:b/>
          <w:i w:val="0"/>
          <w:color w:val="006DB6"/>
          <w:sz w:val="22"/>
        </w:rPr>
        <w:t>Huntress Managed Detection</w:t>
      </w:r>
    </w:p>
    <w:p>
      <w:pPr>
        <w:spacing w:after="40"/>
      </w:pPr>
      <w:r>
        <w:rPr>
          <w:rFonts w:ascii="Open Sans" w:hAnsi="Open Sans"/>
          <w:b w:val="0"/>
          <w:i/>
          <w:color w:val="1A1A2E"/>
          <w:sz w:val="20"/>
        </w:rPr>
        <w:t>24/7 SOC-backed threat hunting and persistent foothold detection with human-led analysis.</w:t>
      </w:r>
    </w:p>
    <w:p>
      <w:pPr>
        <w:spacing w:after="120"/>
      </w:pPr>
      <w:r>
        <w:rPr>
          <w:rFonts w:ascii="Open Sans" w:hAnsi="Open Sans"/>
          <w:b/>
          <w:i w:val="0"/>
          <w:color w:val="F67D4B"/>
          <w:sz w:val="20"/>
        </w:rPr>
        <w:t xml:space="preserve">Why: </w:t>
      </w:r>
      <w:r>
        <w:rPr>
          <w:rFonts w:ascii="Open Sans" w:hAnsi="Open Sans"/>
          <w:b w:val="0"/>
          <w:i w:val="0"/>
          <w:color w:val="59595B"/>
          <w:sz w:val="20"/>
        </w:rPr>
        <w:t>CrowdStrike stops known and behavioral threats in real time, but sophisticated attackers establish persistence mechanisms that evade automated tools. Huntress provides a dedicated Security Operations Center that actively hunts for footholds, backdoors, and living-off-the-land techniques. This layered approach closes the gap between automated detection and human-led threat intelligence — critical for an environment handling project financials and bid documents.</w:t>
      </w:r>
    </w:p>
    <w:p>
      <w:pPr>
        <w:spacing w:before="160" w:after="40"/>
      </w:pPr>
      <w:r>
        <w:rPr>
          <w:rFonts w:ascii="Open Sans" w:hAnsi="Open Sans"/>
          <w:b/>
          <w:i w:val="0"/>
          <w:color w:val="006DB6"/>
          <w:sz w:val="22"/>
        </w:rPr>
        <w:t>Cisco Umbrella (My Secure Internet)</w:t>
      </w:r>
    </w:p>
    <w:p>
      <w:pPr>
        <w:spacing w:after="40"/>
      </w:pPr>
      <w:r>
        <w:rPr>
          <w:rFonts w:ascii="Open Sans" w:hAnsi="Open Sans"/>
          <w:b w:val="0"/>
          <w:i/>
          <w:color w:val="1A1A2E"/>
          <w:sz w:val="20"/>
        </w:rPr>
        <w:t>DNS-layer security that blocks malicious domains, phishing sites, and command-and-control callbacks before a connection is ever established.</w:t>
      </w:r>
    </w:p>
    <w:p>
      <w:pPr>
        <w:spacing w:after="120"/>
      </w:pPr>
      <w:r>
        <w:rPr>
          <w:rFonts w:ascii="Open Sans" w:hAnsi="Open Sans"/>
          <w:b/>
          <w:i w:val="0"/>
          <w:color w:val="F67D4B"/>
          <w:sz w:val="20"/>
        </w:rPr>
        <w:t xml:space="preserve">Why: </w:t>
      </w:r>
      <w:r>
        <w:rPr>
          <w:rFonts w:ascii="Open Sans" w:hAnsi="Open Sans"/>
          <w:b w:val="0"/>
          <w:i w:val="0"/>
          <w:color w:val="59595B"/>
          <w:sz w:val="20"/>
        </w:rPr>
        <w:t>Most cyberattacks begin with a DNS query — whether a phishing link in an email, a malicious ad, or a compromised website. Cisco Umbrella intercepts these requests at the DNS layer, blocking threats before they reach the desktop. This provides consistent protection for all 1 of Culp Construction Company’s desktops, especially important when accessing cloud applications (M365, construction management software), project files, and bid management tools.</w:t>
      </w:r>
    </w:p>
    <w:p>
      <w:pPr>
        <w:spacing w:before="160" w:after="40"/>
      </w:pPr>
      <w:r>
        <w:rPr>
          <w:rFonts w:ascii="Open Sans" w:hAnsi="Open Sans"/>
          <w:b/>
          <w:i w:val="0"/>
          <w:color w:val="006DB6"/>
          <w:sz w:val="22"/>
        </w:rPr>
        <w:t>Patch Management (ManageEngine Endpoint Central Plus)</w:t>
      </w:r>
    </w:p>
    <w:p>
      <w:pPr>
        <w:spacing w:after="40"/>
      </w:pPr>
      <w:r>
        <w:rPr>
          <w:rFonts w:ascii="Open Sans" w:hAnsi="Open Sans"/>
          <w:b w:val="0"/>
          <w:i/>
          <w:color w:val="1A1A2E"/>
          <w:sz w:val="20"/>
        </w:rPr>
        <w:t>Automated OS and third-party application patching powered by ManageEngine Endpoint Central Plus, a unified endpoint management platform with software deployment, vulnerability scanning, and configuration management built in.</w:t>
      </w:r>
    </w:p>
    <w:p>
      <w:pPr>
        <w:spacing w:after="120"/>
      </w:pPr>
      <w:r>
        <w:rPr>
          <w:rFonts w:ascii="Open Sans" w:hAnsi="Open Sans"/>
          <w:b/>
          <w:i w:val="0"/>
          <w:color w:val="F67D4B"/>
          <w:sz w:val="20"/>
        </w:rPr>
        <w:t xml:space="preserve">Why: </w:t>
      </w:r>
      <w:r>
        <w:rPr>
          <w:rFonts w:ascii="Open Sans" w:hAnsi="Open Sans"/>
          <w:b w:val="0"/>
          <w:i w:val="0"/>
          <w:color w:val="59595B"/>
          <w:sz w:val="20"/>
        </w:rPr>
        <w:t>Unpatched vulnerabilities are the #1 attack vector for ransomware and malware. With 1 desktops running Windows plus business applications, keeping software current is critical. Endpoint Central Plus goes beyond basic patching — it provides automated vulnerability scanning to identify missing patches by severity, supports 850+ third-party application updates, and includes software deployment and configuration management from a single console. Scheduled deployment windows ensure security updates are applied consistently without disrupting daily operations.</w:t>
      </w:r>
    </w:p>
    <w:p>
      <w:pPr>
        <w:spacing w:before="160" w:after="40"/>
      </w:pPr>
      <w:r>
        <w:rPr>
          <w:rFonts w:ascii="Open Sans" w:hAnsi="Open Sans"/>
          <w:b/>
          <w:i w:val="0"/>
          <w:color w:val="006DB6"/>
          <w:sz w:val="22"/>
        </w:rPr>
        <w:t>My Remote (ConnectWise ScreenConnect)</w:t>
      </w:r>
    </w:p>
    <w:p>
      <w:pPr>
        <w:spacing w:after="40"/>
      </w:pPr>
      <w:r>
        <w:rPr>
          <w:rFonts w:ascii="Open Sans" w:hAnsi="Open Sans"/>
          <w:b w:val="0"/>
          <w:i/>
          <w:color w:val="1A1A2E"/>
          <w:sz w:val="20"/>
        </w:rPr>
        <w:t>Secure remote access and support tool powered by ConnectWise ScreenConnect, providing on-demand and unattended access to all managed desktops.</w:t>
      </w:r>
    </w:p>
    <w:p>
      <w:pPr>
        <w:spacing w:after="120"/>
      </w:pPr>
      <w:r>
        <w:rPr>
          <w:rFonts w:ascii="Open Sans" w:hAnsi="Open Sans"/>
          <w:b/>
          <w:i w:val="0"/>
          <w:color w:val="F67D4B"/>
          <w:sz w:val="20"/>
        </w:rPr>
        <w:t xml:space="preserve">Why: </w:t>
      </w:r>
      <w:r>
        <w:rPr>
          <w:rFonts w:ascii="Open Sans" w:hAnsi="Open Sans"/>
          <w:b w:val="0"/>
          <w:i w:val="0"/>
          <w:color w:val="59595B"/>
          <w:sz w:val="20"/>
        </w:rPr>
        <w:t>Technijian’s support team needs secure, on-demand access to Culp Construction Company’s desktops to troubleshoot issues, deploy software, and perform maintenance. ScreenConnect provides lightning-fast remote sessions with role-based access controls, full session audit logging, and unattended access for after-hours maintenance — eliminating the need for users to install ad hoc remote tools that introduce security risk.</w:t>
      </w:r>
    </w:p>
    <w:p>
      <w:pPr>
        <w:spacing w:before="160" w:after="40"/>
      </w:pPr>
      <w:r>
        <w:rPr>
          <w:rFonts w:ascii="Open Sans" w:hAnsi="Open Sans"/>
          <w:b/>
          <w:i w:val="0"/>
          <w:color w:val="006DB6"/>
          <w:sz w:val="22"/>
        </w:rPr>
        <w:t>DMARC/DKIM Monitoring</w:t>
      </w:r>
    </w:p>
    <w:p>
      <w:pPr>
        <w:spacing w:after="40"/>
      </w:pPr>
      <w:r>
        <w:rPr>
          <w:rFonts w:ascii="Open Sans" w:hAnsi="Open Sans"/>
          <w:b w:val="0"/>
          <w:i/>
          <w:color w:val="1A1A2E"/>
          <w:sz w:val="20"/>
        </w:rPr>
        <w:t>Email authentication monitoring and reporting to prevent unauthorized parties from spoofing Culp Construction Company’s domain.</w:t>
      </w:r>
    </w:p>
    <w:p>
      <w:pPr>
        <w:spacing w:after="120"/>
      </w:pPr>
      <w:r>
        <w:rPr>
          <w:rFonts w:ascii="Open Sans" w:hAnsi="Open Sans"/>
          <w:b/>
          <w:i w:val="0"/>
          <w:color w:val="F67D4B"/>
          <w:sz w:val="20"/>
        </w:rPr>
        <w:t xml:space="preserve">Why: </w:t>
      </w:r>
      <w:r>
        <w:rPr>
          <w:rFonts w:ascii="Open Sans" w:hAnsi="Open Sans"/>
          <w:b w:val="0"/>
          <w:i w:val="0"/>
          <w:color w:val="59595B"/>
          <w:sz w:val="20"/>
        </w:rPr>
        <w:t>Without DMARC and DKIM enforcement, attackers can send emails that appear to come from Culp Construction Company’s domain — targeting clients, subcontractors, and partners with fraudulent invoices or change-order requests. Ongoing monitoring ensures email authentication policies are correctly configured, alerts on spoofing attempts, and provides visibility into who is sending email on your behalf.</w:t>
      </w:r>
    </w:p>
    <w:p>
      <w:pPr>
        <w:spacing w:before="160" w:after="40"/>
      </w:pPr>
      <w:r>
        <w:rPr>
          <w:rFonts w:ascii="Open Sans" w:hAnsi="Open Sans"/>
          <w:b/>
          <w:i w:val="0"/>
          <w:color w:val="006DB6"/>
          <w:sz w:val="22"/>
        </w:rPr>
        <w:t>Microsoft 365 Business Standard</w:t>
      </w:r>
    </w:p>
    <w:p>
      <w:pPr>
        <w:spacing w:after="40"/>
      </w:pPr>
      <w:r>
        <w:rPr>
          <w:rFonts w:ascii="Open Sans" w:hAnsi="Open Sans"/>
          <w:b w:val="0"/>
          <w:i/>
          <w:color w:val="1A1A2E"/>
          <w:sz w:val="20"/>
        </w:rPr>
        <w:t>Cloud productivity suite for Culp Construction Company’s mailbox, including Exchange Online, OneDrive, SharePoint, and Teams.</w:t>
      </w:r>
    </w:p>
    <w:p>
      <w:pPr>
        <w:spacing w:after="120"/>
      </w:pPr>
      <w:r>
        <w:rPr>
          <w:rFonts w:ascii="Open Sans" w:hAnsi="Open Sans"/>
          <w:b/>
          <w:i w:val="0"/>
          <w:color w:val="F67D4B"/>
          <w:sz w:val="20"/>
        </w:rPr>
        <w:t xml:space="preserve">Why: </w:t>
      </w:r>
      <w:r>
        <w:rPr>
          <w:rFonts w:ascii="Open Sans" w:hAnsi="Open Sans"/>
          <w:b w:val="0"/>
          <w:i w:val="0"/>
          <w:color w:val="59595B"/>
          <w:sz w:val="20"/>
        </w:rPr>
        <w:t>Microsoft 365 Business Standard provides the full Office suite plus enterprise-grade email with 50 GB mailbox storage, OneDrive cloud storage, and Teams collaboration. Technijian manages the license, mailbox configuration, and ongoing administration so Chuck can focus on running the business without worrying about email infrastructure or license renewals.</w:t>
      </w:r>
    </w:p>
    <w:p>
      <w:pPr>
        <w:spacing w:before="160" w:after="40"/>
      </w:pPr>
      <w:r>
        <w:rPr>
          <w:rFonts w:ascii="Open Sans" w:hAnsi="Open Sans"/>
          <w:b/>
          <w:i w:val="0"/>
          <w:color w:val="006DB6"/>
          <w:sz w:val="22"/>
        </w:rPr>
        <w:t>Offshore Virtual Staff Support</w:t>
      </w:r>
    </w:p>
    <w:p>
      <w:pPr>
        <w:spacing w:after="40"/>
      </w:pPr>
      <w:r>
        <w:rPr>
          <w:rFonts w:ascii="Open Sans" w:hAnsi="Open Sans"/>
          <w:b w:val="0"/>
          <w:i/>
          <w:color w:val="1A1A2E"/>
          <w:sz w:val="20"/>
        </w:rPr>
        <w:t>2 hours/month of India-based remote technical support for Culp Construction Company’s home computer and Microsoft 365 environment.</w:t>
      </w:r>
    </w:p>
    <w:p>
      <w:pPr>
        <w:spacing w:after="120"/>
      </w:pPr>
      <w:r>
        <w:rPr>
          <w:rFonts w:ascii="Open Sans" w:hAnsi="Open Sans"/>
          <w:b/>
          <w:i w:val="0"/>
          <w:color w:val="F67D4B"/>
          <w:sz w:val="20"/>
        </w:rPr>
        <w:t xml:space="preserve">Why: </w:t>
      </w:r>
      <w:r>
        <w:rPr>
          <w:rFonts w:ascii="Open Sans" w:hAnsi="Open Sans"/>
          <w:b w:val="0"/>
          <w:i w:val="0"/>
          <w:color w:val="59595B"/>
          <w:sz w:val="20"/>
        </w:rPr>
        <w:t>Dedicated offshore support covers software troubleshooting, Windows updates, M365 configuration, printer issues, and general desktop support. 1 hour during US business hours (India night shift at $30/hr) and 1 hour during US after-hours (India day shift at $15/hr) provides coverage for both routine daytime requests and after-hours maintenance without US-rate overhead.</w:t>
      </w:r>
    </w:p>
    <w:p>
      <w:r>
        <w:br w:type="page"/>
      </w:r>
    </w:p>
    <w:p>
      <w:pPr>
        <w:spacing w:before="200" w:after="120"/>
        <w:pBdr>
          <w:bottom w:val="single" w:sz="8" w:space="2" w:color="006DB6"/>
        </w:pBdr>
      </w:pPr>
      <w:r>
        <w:rPr>
          <w:rFonts w:ascii="Open Sans" w:hAnsi="Open Sans"/>
          <w:b/>
          <w:i w:val="0"/>
          <w:color w:val="006DB6"/>
          <w:sz w:val="28"/>
        </w:rPr>
        <w:t>Desktop &amp; Endpoint Security</w:t>
      </w:r>
    </w:p>
    <w:p>
      <w:pPr>
        <w:spacing w:after="160"/>
      </w:pPr>
      <w:r>
        <w:rPr>
          <w:rFonts w:ascii="Open Sans" w:hAnsi="Open Sans"/>
          <w:b w:val="0"/>
          <w:i w:val="0"/>
          <w:color w:val="59595B"/>
          <w:sz w:val="20"/>
        </w:rPr>
        <w:t>Enterprise cybersecurity stack deployed across all 1 managed desktops, providing layered protection from endpoint to network edge.</w:t>
      </w:r>
    </w:p>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3168"/>
            <w:shd w:fill="006DB6" w:val="clear"/>
          </w:tcPr>
          <w:p>
            <w:r/>
            <w:r>
              <w:rPr>
                <w:rFonts w:ascii="Open Sans" w:hAnsi="Open Sans"/>
                <w:b/>
                <w:i w:val="0"/>
                <w:color w:val="FFFFFF"/>
                <w:sz w:val="18"/>
              </w:rPr>
              <w:t>Service</w:t>
            </w:r>
          </w:p>
        </w:tc>
        <w:tc>
          <w:tcPr>
            <w:tcW w:type="dxa" w:w="1440"/>
            <w:shd w:fill="006DB6" w:val="clear"/>
          </w:tcPr>
          <w:p>
            <w:r/>
            <w:r>
              <w:rPr>
                <w:rFonts w:ascii="Open Sans" w:hAnsi="Open Sans"/>
                <w:b/>
                <w:i w:val="0"/>
                <w:color w:val="FFFFFF"/>
                <w:sz w:val="18"/>
              </w:rPr>
              <w:t>Unit</w:t>
            </w:r>
          </w:p>
        </w:tc>
        <w:tc>
          <w:tcPr>
            <w:tcW w:type="dxa" w:w="720"/>
            <w:shd w:fill="006DB6" w:val="clear"/>
          </w:tcPr>
          <w:p>
            <w:r/>
            <w:r>
              <w:rPr>
                <w:rFonts w:ascii="Open Sans" w:hAnsi="Open Sans"/>
                <w:b/>
                <w:i w:val="0"/>
                <w:color w:val="FFFFFF"/>
                <w:sz w:val="18"/>
              </w:rPr>
              <w:t>Qty</w:t>
            </w:r>
          </w:p>
        </w:tc>
        <w:tc>
          <w:tcPr>
            <w:tcW w:type="dxa" w:w="1296"/>
            <w:shd w:fill="006DB6" w:val="clear"/>
          </w:tcPr>
          <w:p>
            <w:r/>
            <w:r>
              <w:rPr>
                <w:rFonts w:ascii="Open Sans" w:hAnsi="Open Sans"/>
                <w:b/>
                <w:i w:val="0"/>
                <w:color w:val="FFFFFF"/>
                <w:sz w:val="18"/>
              </w:rPr>
              <w:t>Unit Price</w:t>
            </w:r>
          </w:p>
        </w:tc>
        <w:tc>
          <w:tcPr>
            <w:tcW w:type="dxa" w:w="1440"/>
            <w:shd w:fill="006DB6" w:val="clear"/>
          </w:tcPr>
          <w:p>
            <w:r/>
            <w:r>
              <w:rPr>
                <w:rFonts w:ascii="Open Sans" w:hAnsi="Open Sans"/>
                <w:b/>
                <w:i w:val="0"/>
                <w:color w:val="FFFFFF"/>
                <w:sz w:val="18"/>
              </w:rPr>
              <w:t>Monthly</w:t>
            </w:r>
          </w:p>
        </w:tc>
      </w:tr>
      <w:tr>
        <w:tc>
          <w:tcPr>
            <w:tcW w:type="dxa" w:w="3168"/>
          </w:tcPr>
          <w:p>
            <w:r/>
            <w:r>
              <w:rPr>
                <w:rFonts w:ascii="Open Sans" w:hAnsi="Open Sans"/>
                <w:b w:val="0"/>
                <w:i w:val="0"/>
                <w:color w:val="59595B"/>
                <w:sz w:val="18"/>
              </w:rPr>
              <w:t>CrowdStrike Falcon EDR</w:t>
            </w:r>
          </w:p>
        </w:tc>
        <w:tc>
          <w:tcPr>
            <w:tcW w:type="dxa" w:w="1440"/>
          </w:tcPr>
          <w:p>
            <w:r/>
            <w:r>
              <w:rPr>
                <w:rFonts w:ascii="Open Sans" w:hAnsi="Open Sans"/>
                <w:b w:val="0"/>
                <w:i w:val="0"/>
                <w:color w:val="59595B"/>
                <w:sz w:val="18"/>
              </w:rPr>
              <w:t>Per desktop</w:t>
            </w:r>
          </w:p>
        </w:tc>
        <w:tc>
          <w:tcPr>
            <w:tcW w:type="dxa" w:w="720"/>
          </w:tcPr>
          <w:p>
            <w:r/>
            <w:r>
              <w:rPr>
                <w:rFonts w:ascii="Open Sans" w:hAnsi="Open Sans"/>
                <w:b w:val="0"/>
                <w:i w:val="0"/>
                <w:color w:val="59595B"/>
                <w:sz w:val="18"/>
              </w:rPr>
              <w:t>1</w:t>
            </w:r>
          </w:p>
        </w:tc>
        <w:tc>
          <w:tcPr>
            <w:tcW w:type="dxa" w:w="1296"/>
          </w:tcPr>
          <w:p>
            <w:r/>
            <w:r>
              <w:rPr>
                <w:rFonts w:ascii="Open Sans" w:hAnsi="Open Sans"/>
                <w:b w:val="0"/>
                <w:i w:val="0"/>
                <w:color w:val="59595B"/>
                <w:sz w:val="18"/>
              </w:rPr>
              <w:t>$8.50</w:t>
            </w:r>
          </w:p>
        </w:tc>
        <w:tc>
          <w:tcPr>
            <w:tcW w:type="dxa" w:w="1440"/>
          </w:tcPr>
          <w:p>
            <w:r/>
            <w:r>
              <w:rPr>
                <w:rFonts w:ascii="Open Sans" w:hAnsi="Open Sans"/>
                <w:b w:val="0"/>
                <w:i w:val="0"/>
                <w:color w:val="59595B"/>
                <w:sz w:val="18"/>
              </w:rPr>
              <w:t>$8.50</w:t>
            </w:r>
          </w:p>
        </w:tc>
      </w:tr>
      <w:tr>
        <w:tc>
          <w:tcPr>
            <w:tcW w:type="dxa" w:w="3168"/>
          </w:tcPr>
          <w:p>
            <w:r/>
            <w:r>
              <w:rPr>
                <w:rFonts w:ascii="Open Sans" w:hAnsi="Open Sans"/>
                <w:b w:val="0"/>
                <w:i w:val="0"/>
                <w:color w:val="59595B"/>
                <w:sz w:val="18"/>
              </w:rPr>
              <w:t>Huntress Managed Detection</w:t>
            </w:r>
          </w:p>
        </w:tc>
        <w:tc>
          <w:tcPr>
            <w:tcW w:type="dxa" w:w="1440"/>
          </w:tcPr>
          <w:p>
            <w:r/>
            <w:r>
              <w:rPr>
                <w:rFonts w:ascii="Open Sans" w:hAnsi="Open Sans"/>
                <w:b w:val="0"/>
                <w:i w:val="0"/>
                <w:color w:val="59595B"/>
                <w:sz w:val="18"/>
              </w:rPr>
              <w:t>Per desktop</w:t>
            </w:r>
          </w:p>
        </w:tc>
        <w:tc>
          <w:tcPr>
            <w:tcW w:type="dxa" w:w="720"/>
          </w:tcPr>
          <w:p>
            <w:r/>
            <w:r>
              <w:rPr>
                <w:rFonts w:ascii="Open Sans" w:hAnsi="Open Sans"/>
                <w:b w:val="0"/>
                <w:i w:val="0"/>
                <w:color w:val="59595B"/>
                <w:sz w:val="18"/>
              </w:rPr>
              <w:t>1</w:t>
            </w:r>
          </w:p>
        </w:tc>
        <w:tc>
          <w:tcPr>
            <w:tcW w:type="dxa" w:w="1296"/>
          </w:tcPr>
          <w:p>
            <w:r/>
            <w:r>
              <w:rPr>
                <w:rFonts w:ascii="Open Sans" w:hAnsi="Open Sans"/>
                <w:b w:val="0"/>
                <w:i w:val="0"/>
                <w:color w:val="59595B"/>
                <w:sz w:val="18"/>
              </w:rPr>
              <w:t>$6.00</w:t>
            </w:r>
          </w:p>
        </w:tc>
        <w:tc>
          <w:tcPr>
            <w:tcW w:type="dxa" w:w="1440"/>
          </w:tcPr>
          <w:p>
            <w:r/>
            <w:r>
              <w:rPr>
                <w:rFonts w:ascii="Open Sans" w:hAnsi="Open Sans"/>
                <w:b w:val="0"/>
                <w:i w:val="0"/>
                <w:color w:val="59595B"/>
                <w:sz w:val="18"/>
              </w:rPr>
              <w:t>$6.00</w:t>
            </w:r>
          </w:p>
        </w:tc>
      </w:tr>
      <w:tr>
        <w:tc>
          <w:tcPr>
            <w:tcW w:type="dxa" w:w="3168"/>
          </w:tcPr>
          <w:p>
            <w:r/>
            <w:r>
              <w:rPr>
                <w:rFonts w:ascii="Open Sans" w:hAnsi="Open Sans"/>
                <w:b w:val="0"/>
                <w:i w:val="0"/>
                <w:color w:val="59595B"/>
                <w:sz w:val="18"/>
              </w:rPr>
              <w:t>My Secure Internet (Cisco Umbrella)</w:t>
            </w:r>
          </w:p>
        </w:tc>
        <w:tc>
          <w:tcPr>
            <w:tcW w:type="dxa" w:w="1440"/>
          </w:tcPr>
          <w:p>
            <w:r/>
            <w:r>
              <w:rPr>
                <w:rFonts w:ascii="Open Sans" w:hAnsi="Open Sans"/>
                <w:b w:val="0"/>
                <w:i w:val="0"/>
                <w:color w:val="59595B"/>
                <w:sz w:val="18"/>
              </w:rPr>
              <w:t>Per desktop</w:t>
            </w:r>
          </w:p>
        </w:tc>
        <w:tc>
          <w:tcPr>
            <w:tcW w:type="dxa" w:w="720"/>
          </w:tcPr>
          <w:p>
            <w:r/>
            <w:r>
              <w:rPr>
                <w:rFonts w:ascii="Open Sans" w:hAnsi="Open Sans"/>
                <w:b w:val="0"/>
                <w:i w:val="0"/>
                <w:color w:val="59595B"/>
                <w:sz w:val="18"/>
              </w:rPr>
              <w:t>1</w:t>
            </w:r>
          </w:p>
        </w:tc>
        <w:tc>
          <w:tcPr>
            <w:tcW w:type="dxa" w:w="1296"/>
          </w:tcPr>
          <w:p>
            <w:r/>
            <w:r>
              <w:rPr>
                <w:rFonts w:ascii="Open Sans" w:hAnsi="Open Sans"/>
                <w:b w:val="0"/>
                <w:i w:val="0"/>
                <w:color w:val="59595B"/>
                <w:sz w:val="18"/>
              </w:rPr>
              <w:t>$6.00</w:t>
            </w:r>
          </w:p>
        </w:tc>
        <w:tc>
          <w:tcPr>
            <w:tcW w:type="dxa" w:w="1440"/>
          </w:tcPr>
          <w:p>
            <w:r/>
            <w:r>
              <w:rPr>
                <w:rFonts w:ascii="Open Sans" w:hAnsi="Open Sans"/>
                <w:b w:val="0"/>
                <w:i w:val="0"/>
                <w:color w:val="59595B"/>
                <w:sz w:val="18"/>
              </w:rPr>
              <w:t>$6.00</w:t>
            </w:r>
          </w:p>
        </w:tc>
      </w:tr>
      <w:tr>
        <w:tc>
          <w:tcPr>
            <w:tcW w:type="dxa" w:w="3168"/>
          </w:tcPr>
          <w:p>
            <w:r/>
            <w:r>
              <w:rPr>
                <w:rFonts w:ascii="Open Sans" w:hAnsi="Open Sans"/>
                <w:b w:val="0"/>
                <w:i w:val="0"/>
                <w:color w:val="59595B"/>
                <w:sz w:val="18"/>
              </w:rPr>
              <w:t>Patch Mgmt (Endpoint Central Plus)</w:t>
            </w:r>
          </w:p>
        </w:tc>
        <w:tc>
          <w:tcPr>
            <w:tcW w:type="dxa" w:w="1440"/>
          </w:tcPr>
          <w:p>
            <w:r/>
            <w:r>
              <w:rPr>
                <w:rFonts w:ascii="Open Sans" w:hAnsi="Open Sans"/>
                <w:b w:val="0"/>
                <w:i w:val="0"/>
                <w:color w:val="59595B"/>
                <w:sz w:val="18"/>
              </w:rPr>
              <w:t>Per desktop</w:t>
            </w:r>
          </w:p>
        </w:tc>
        <w:tc>
          <w:tcPr>
            <w:tcW w:type="dxa" w:w="720"/>
          </w:tcPr>
          <w:p>
            <w:r/>
            <w:r>
              <w:rPr>
                <w:rFonts w:ascii="Open Sans" w:hAnsi="Open Sans"/>
                <w:b w:val="0"/>
                <w:i w:val="0"/>
                <w:color w:val="59595B"/>
                <w:sz w:val="18"/>
              </w:rPr>
              <w:t>1</w:t>
            </w:r>
          </w:p>
        </w:tc>
        <w:tc>
          <w:tcPr>
            <w:tcW w:type="dxa" w:w="1296"/>
          </w:tcPr>
          <w:p>
            <w:r/>
            <w:r>
              <w:rPr>
                <w:rFonts w:ascii="Open Sans" w:hAnsi="Open Sans"/>
                <w:b w:val="0"/>
                <w:i w:val="0"/>
                <w:color w:val="59595B"/>
                <w:sz w:val="18"/>
              </w:rPr>
              <w:t>$4.00</w:t>
            </w:r>
          </w:p>
        </w:tc>
        <w:tc>
          <w:tcPr>
            <w:tcW w:type="dxa" w:w="1440"/>
          </w:tcPr>
          <w:p>
            <w:r/>
            <w:r>
              <w:rPr>
                <w:rFonts w:ascii="Open Sans" w:hAnsi="Open Sans"/>
                <w:b w:val="0"/>
                <w:i w:val="0"/>
                <w:color w:val="59595B"/>
                <w:sz w:val="18"/>
              </w:rPr>
              <w:t>$4.00</w:t>
            </w:r>
          </w:p>
        </w:tc>
      </w:tr>
      <w:tr>
        <w:tc>
          <w:tcPr>
            <w:tcW w:type="dxa" w:w="3168"/>
          </w:tcPr>
          <w:p>
            <w:r/>
            <w:r>
              <w:rPr>
                <w:rFonts w:ascii="Open Sans" w:hAnsi="Open Sans"/>
                <w:b w:val="0"/>
                <w:i w:val="0"/>
                <w:color w:val="59595B"/>
                <w:sz w:val="18"/>
              </w:rPr>
              <w:t>My Remote (ScreenConnect)</w:t>
            </w:r>
          </w:p>
        </w:tc>
        <w:tc>
          <w:tcPr>
            <w:tcW w:type="dxa" w:w="1440"/>
          </w:tcPr>
          <w:p>
            <w:r/>
            <w:r>
              <w:rPr>
                <w:rFonts w:ascii="Open Sans" w:hAnsi="Open Sans"/>
                <w:b w:val="0"/>
                <w:i w:val="0"/>
                <w:color w:val="59595B"/>
                <w:sz w:val="18"/>
              </w:rPr>
              <w:t>Per desktop</w:t>
            </w:r>
          </w:p>
        </w:tc>
        <w:tc>
          <w:tcPr>
            <w:tcW w:type="dxa" w:w="720"/>
          </w:tcPr>
          <w:p>
            <w:r/>
            <w:r>
              <w:rPr>
                <w:rFonts w:ascii="Open Sans" w:hAnsi="Open Sans"/>
                <w:b w:val="0"/>
                <w:i w:val="0"/>
                <w:color w:val="59595B"/>
                <w:sz w:val="18"/>
              </w:rPr>
              <w:t>1</w:t>
            </w:r>
          </w:p>
        </w:tc>
        <w:tc>
          <w:tcPr>
            <w:tcW w:type="dxa" w:w="1296"/>
          </w:tcPr>
          <w:p>
            <w:r/>
            <w:r>
              <w:rPr>
                <w:rFonts w:ascii="Open Sans" w:hAnsi="Open Sans"/>
                <w:b w:val="0"/>
                <w:i w:val="0"/>
                <w:color w:val="59595B"/>
                <w:sz w:val="18"/>
              </w:rPr>
              <w:t>$2.00</w:t>
            </w:r>
          </w:p>
        </w:tc>
        <w:tc>
          <w:tcPr>
            <w:tcW w:type="dxa" w:w="1440"/>
          </w:tcPr>
          <w:p>
            <w:r/>
            <w:r>
              <w:rPr>
                <w:rFonts w:ascii="Open Sans" w:hAnsi="Open Sans"/>
                <w:b w:val="0"/>
                <w:i w:val="0"/>
                <w:color w:val="59595B"/>
                <w:sz w:val="18"/>
              </w:rPr>
              <w:t>$2.00</w:t>
            </w:r>
          </w:p>
        </w:tc>
      </w:tr>
      <w:tr>
        <w:tc>
          <w:tcPr>
            <w:tcW w:type="dxa" w:w="3168"/>
            <w:shd w:fill="F8F9FA" w:val="clear"/>
          </w:tcPr>
          <w:p>
            <w:r/>
            <w:r>
              <w:rPr>
                <w:rFonts w:ascii="Open Sans" w:hAnsi="Open Sans"/>
                <w:b/>
                <w:i w:val="0"/>
                <w:color w:val="1A1A2E"/>
                <w:sz w:val="18"/>
              </w:rPr>
              <w:t>SUBTOTAL — DESKTOP SECURITY</w:t>
            </w:r>
          </w:p>
        </w:tc>
        <w:tc>
          <w:tcPr>
            <w:tcW w:type="dxa" w:w="1440"/>
            <w:shd w:fill="F8F9FA" w:val="clear"/>
          </w:tcPr>
          <w:p>
            <w:r/>
            <w:r>
              <w:rPr>
                <w:rFonts w:ascii="Open Sans" w:hAnsi="Open Sans"/>
                <w:b/>
                <w:i w:val="0"/>
                <w:color w:val="1A1A2E"/>
                <w:sz w:val="18"/>
              </w:rPr>
            </w:r>
          </w:p>
        </w:tc>
        <w:tc>
          <w:tcPr>
            <w:tcW w:type="dxa" w:w="720"/>
            <w:shd w:fill="F8F9FA" w:val="clear"/>
          </w:tcPr>
          <w:p>
            <w:r/>
            <w:r>
              <w:rPr>
                <w:rFonts w:ascii="Open Sans" w:hAnsi="Open Sans"/>
                <w:b/>
                <w:i w:val="0"/>
                <w:color w:val="1A1A2E"/>
                <w:sz w:val="18"/>
              </w:rPr>
            </w:r>
          </w:p>
        </w:tc>
        <w:tc>
          <w:tcPr>
            <w:tcW w:type="dxa" w:w="1296"/>
            <w:shd w:fill="F8F9FA" w:val="clear"/>
          </w:tcPr>
          <w:p>
            <w:r/>
            <w:r>
              <w:rPr>
                <w:rFonts w:ascii="Open Sans" w:hAnsi="Open Sans"/>
                <w:b/>
                <w:i w:val="0"/>
                <w:color w:val="1A1A2E"/>
                <w:sz w:val="18"/>
              </w:rPr>
            </w:r>
          </w:p>
        </w:tc>
        <w:tc>
          <w:tcPr>
            <w:tcW w:type="dxa" w:w="1440"/>
            <w:shd w:fill="F8F9FA" w:val="clear"/>
          </w:tcPr>
          <w:p>
            <w:r/>
            <w:r>
              <w:rPr>
                <w:rFonts w:ascii="Open Sans" w:hAnsi="Open Sans"/>
                <w:b/>
                <w:i w:val="0"/>
                <w:color w:val="1A1A2E"/>
                <w:sz w:val="18"/>
              </w:rPr>
              <w:t>$26.50</w:t>
            </w:r>
          </w:p>
        </w:tc>
      </w:tr>
    </w:tbl>
    <w:p>
      <w:pPr>
        <w:spacing w:after="80"/>
      </w:pPr>
    </w:p>
    <w:p>
      <w:pPr>
        <w:spacing w:before="200" w:after="120"/>
        <w:pBdr>
          <w:bottom w:val="single" w:sz="8" w:space="2" w:color="006DB6"/>
        </w:pBdr>
      </w:pPr>
      <w:r>
        <w:rPr>
          <w:rFonts w:ascii="Open Sans" w:hAnsi="Open Sans"/>
          <w:b/>
          <w:i w:val="0"/>
          <w:color w:val="006DB6"/>
          <w:sz w:val="28"/>
        </w:rPr>
        <w:t>Email Security &amp; Compliance</w:t>
      </w:r>
    </w:p>
    <w:p>
      <w:pPr>
        <w:spacing w:after="160"/>
      </w:pPr>
      <w:r>
        <w:rPr>
          <w:rFonts w:ascii="Open Sans" w:hAnsi="Open Sans"/>
          <w:b w:val="0"/>
          <w:i w:val="0"/>
          <w:color w:val="59595B"/>
          <w:sz w:val="20"/>
        </w:rPr>
        <w:t>Advanced email protection for all 1 Microsoft 365 users with domain authentication monitoring and monthly security assessment.</w:t>
      </w:r>
    </w:p>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3168"/>
            <w:shd w:fill="006DB6" w:val="clear"/>
          </w:tcPr>
          <w:p>
            <w:r/>
            <w:r>
              <w:rPr>
                <w:rFonts w:ascii="Open Sans" w:hAnsi="Open Sans"/>
                <w:b/>
                <w:i w:val="0"/>
                <w:color w:val="FFFFFF"/>
                <w:sz w:val="18"/>
              </w:rPr>
              <w:t>Service</w:t>
            </w:r>
          </w:p>
        </w:tc>
        <w:tc>
          <w:tcPr>
            <w:tcW w:type="dxa" w:w="1440"/>
            <w:shd w:fill="006DB6" w:val="clear"/>
          </w:tcPr>
          <w:p>
            <w:r/>
            <w:r>
              <w:rPr>
                <w:rFonts w:ascii="Open Sans" w:hAnsi="Open Sans"/>
                <w:b/>
                <w:i w:val="0"/>
                <w:color w:val="FFFFFF"/>
                <w:sz w:val="18"/>
              </w:rPr>
              <w:t>Unit</w:t>
            </w:r>
          </w:p>
        </w:tc>
        <w:tc>
          <w:tcPr>
            <w:tcW w:type="dxa" w:w="720"/>
            <w:shd w:fill="006DB6" w:val="clear"/>
          </w:tcPr>
          <w:p>
            <w:r/>
            <w:r>
              <w:rPr>
                <w:rFonts w:ascii="Open Sans" w:hAnsi="Open Sans"/>
                <w:b/>
                <w:i w:val="0"/>
                <w:color w:val="FFFFFF"/>
                <w:sz w:val="18"/>
              </w:rPr>
              <w:t>Qty</w:t>
            </w:r>
          </w:p>
        </w:tc>
        <w:tc>
          <w:tcPr>
            <w:tcW w:type="dxa" w:w="1296"/>
            <w:shd w:fill="006DB6" w:val="clear"/>
          </w:tcPr>
          <w:p>
            <w:r/>
            <w:r>
              <w:rPr>
                <w:rFonts w:ascii="Open Sans" w:hAnsi="Open Sans"/>
                <w:b/>
                <w:i w:val="0"/>
                <w:color w:val="FFFFFF"/>
                <w:sz w:val="18"/>
              </w:rPr>
              <w:t>Unit Price</w:t>
            </w:r>
          </w:p>
        </w:tc>
        <w:tc>
          <w:tcPr>
            <w:tcW w:type="dxa" w:w="1440"/>
            <w:shd w:fill="006DB6" w:val="clear"/>
          </w:tcPr>
          <w:p>
            <w:r/>
            <w:r>
              <w:rPr>
                <w:rFonts w:ascii="Open Sans" w:hAnsi="Open Sans"/>
                <w:b/>
                <w:i w:val="0"/>
                <w:color w:val="FFFFFF"/>
                <w:sz w:val="18"/>
              </w:rPr>
              <w:t>Monthly</w:t>
            </w:r>
          </w:p>
        </w:tc>
      </w:tr>
      <w:tr>
        <w:tc>
          <w:tcPr>
            <w:tcW w:type="dxa" w:w="3168"/>
          </w:tcPr>
          <w:p>
            <w:r/>
            <w:r>
              <w:rPr>
                <w:rFonts w:ascii="Open Sans" w:hAnsi="Open Sans"/>
                <w:b w:val="0"/>
                <w:i w:val="0"/>
                <w:color w:val="59595B"/>
                <w:sz w:val="18"/>
              </w:rPr>
              <w:t>DMARC/DKIM Monitoring</w:t>
            </w:r>
          </w:p>
        </w:tc>
        <w:tc>
          <w:tcPr>
            <w:tcW w:type="dxa" w:w="1440"/>
          </w:tcPr>
          <w:p>
            <w:r/>
            <w:r>
              <w:rPr>
                <w:rFonts w:ascii="Open Sans" w:hAnsi="Open Sans"/>
                <w:b w:val="0"/>
                <w:i w:val="0"/>
                <w:color w:val="59595B"/>
                <w:sz w:val="18"/>
              </w:rPr>
              <w:t>Per domain</w:t>
            </w:r>
          </w:p>
        </w:tc>
        <w:tc>
          <w:tcPr>
            <w:tcW w:type="dxa" w:w="720"/>
          </w:tcPr>
          <w:p>
            <w:r/>
            <w:r>
              <w:rPr>
                <w:rFonts w:ascii="Open Sans" w:hAnsi="Open Sans"/>
                <w:b w:val="0"/>
                <w:i w:val="0"/>
                <w:color w:val="59595B"/>
                <w:sz w:val="18"/>
              </w:rPr>
              <w:t>1</w:t>
            </w:r>
          </w:p>
        </w:tc>
        <w:tc>
          <w:tcPr>
            <w:tcW w:type="dxa" w:w="1296"/>
          </w:tcPr>
          <w:p>
            <w:r/>
            <w:r>
              <w:rPr>
                <w:rFonts w:ascii="Open Sans" w:hAnsi="Open Sans"/>
                <w:b w:val="0"/>
                <w:i w:val="0"/>
                <w:color w:val="59595B"/>
                <w:sz w:val="18"/>
              </w:rPr>
              <w:t>$20.00</w:t>
            </w:r>
          </w:p>
        </w:tc>
        <w:tc>
          <w:tcPr>
            <w:tcW w:type="dxa" w:w="1440"/>
          </w:tcPr>
          <w:p>
            <w:r/>
            <w:r>
              <w:rPr>
                <w:rFonts w:ascii="Open Sans" w:hAnsi="Open Sans"/>
                <w:b w:val="0"/>
                <w:i w:val="0"/>
                <w:color w:val="59595B"/>
                <w:sz w:val="18"/>
              </w:rPr>
              <w:t>$20.00</w:t>
            </w:r>
          </w:p>
        </w:tc>
      </w:tr>
      <w:tr>
        <w:tc>
          <w:tcPr>
            <w:tcW w:type="dxa" w:w="3168"/>
          </w:tcPr>
          <w:p>
            <w:r/>
            <w:r>
              <w:rPr>
                <w:rFonts w:ascii="Open Sans" w:hAnsi="Open Sans"/>
                <w:b w:val="0"/>
                <w:i w:val="0"/>
                <w:color w:val="59595B"/>
                <w:sz w:val="18"/>
              </w:rPr>
              <w:t>M365 Business Standard</w:t>
            </w:r>
          </w:p>
        </w:tc>
        <w:tc>
          <w:tcPr>
            <w:tcW w:type="dxa" w:w="1440"/>
          </w:tcPr>
          <w:p>
            <w:r/>
            <w:r>
              <w:rPr>
                <w:rFonts w:ascii="Open Sans" w:hAnsi="Open Sans"/>
                <w:b w:val="0"/>
                <w:i w:val="0"/>
                <w:color w:val="59595B"/>
                <w:sz w:val="18"/>
              </w:rPr>
              <w:t>Per user</w:t>
            </w:r>
          </w:p>
        </w:tc>
        <w:tc>
          <w:tcPr>
            <w:tcW w:type="dxa" w:w="720"/>
          </w:tcPr>
          <w:p>
            <w:r/>
            <w:r>
              <w:rPr>
                <w:rFonts w:ascii="Open Sans" w:hAnsi="Open Sans"/>
                <w:b w:val="0"/>
                <w:i w:val="0"/>
                <w:color w:val="59595B"/>
                <w:sz w:val="18"/>
              </w:rPr>
              <w:t>1</w:t>
            </w:r>
          </w:p>
        </w:tc>
        <w:tc>
          <w:tcPr>
            <w:tcW w:type="dxa" w:w="1296"/>
          </w:tcPr>
          <w:p>
            <w:r/>
            <w:r>
              <w:rPr>
                <w:rFonts w:ascii="Open Sans" w:hAnsi="Open Sans"/>
                <w:b w:val="0"/>
                <w:i w:val="0"/>
                <w:color w:val="59595B"/>
                <w:sz w:val="18"/>
              </w:rPr>
              <w:t>$15.00</w:t>
            </w:r>
          </w:p>
        </w:tc>
        <w:tc>
          <w:tcPr>
            <w:tcW w:type="dxa" w:w="1440"/>
          </w:tcPr>
          <w:p>
            <w:r/>
            <w:r>
              <w:rPr>
                <w:rFonts w:ascii="Open Sans" w:hAnsi="Open Sans"/>
                <w:b w:val="0"/>
                <w:i w:val="0"/>
                <w:color w:val="59595B"/>
                <w:sz w:val="18"/>
              </w:rPr>
              <w:t>$15.00</w:t>
            </w:r>
          </w:p>
        </w:tc>
      </w:tr>
      <w:tr>
        <w:tc>
          <w:tcPr>
            <w:tcW w:type="dxa" w:w="3168"/>
            <w:shd w:fill="F8F9FA" w:val="clear"/>
          </w:tcPr>
          <w:p>
            <w:r/>
            <w:r>
              <w:rPr>
                <w:rFonts w:ascii="Open Sans" w:hAnsi="Open Sans"/>
                <w:b/>
                <w:i w:val="0"/>
                <w:color w:val="1A1A2E"/>
                <w:sz w:val="18"/>
              </w:rPr>
              <w:t>SUBTOTAL — EMAIL &amp; DOMAIN</w:t>
            </w:r>
          </w:p>
        </w:tc>
        <w:tc>
          <w:tcPr>
            <w:tcW w:type="dxa" w:w="1440"/>
            <w:shd w:fill="F8F9FA" w:val="clear"/>
          </w:tcPr>
          <w:p>
            <w:r/>
            <w:r>
              <w:rPr>
                <w:rFonts w:ascii="Open Sans" w:hAnsi="Open Sans"/>
                <w:b/>
                <w:i w:val="0"/>
                <w:color w:val="1A1A2E"/>
                <w:sz w:val="18"/>
              </w:rPr>
            </w:r>
          </w:p>
        </w:tc>
        <w:tc>
          <w:tcPr>
            <w:tcW w:type="dxa" w:w="720"/>
            <w:shd w:fill="F8F9FA" w:val="clear"/>
          </w:tcPr>
          <w:p>
            <w:r/>
            <w:r>
              <w:rPr>
                <w:rFonts w:ascii="Open Sans" w:hAnsi="Open Sans"/>
                <w:b/>
                <w:i w:val="0"/>
                <w:color w:val="1A1A2E"/>
                <w:sz w:val="18"/>
              </w:rPr>
            </w:r>
          </w:p>
        </w:tc>
        <w:tc>
          <w:tcPr>
            <w:tcW w:type="dxa" w:w="1296"/>
            <w:shd w:fill="F8F9FA" w:val="clear"/>
          </w:tcPr>
          <w:p>
            <w:r/>
            <w:r>
              <w:rPr>
                <w:rFonts w:ascii="Open Sans" w:hAnsi="Open Sans"/>
                <w:b/>
                <w:i w:val="0"/>
                <w:color w:val="1A1A2E"/>
                <w:sz w:val="18"/>
              </w:rPr>
            </w:r>
          </w:p>
        </w:tc>
        <w:tc>
          <w:tcPr>
            <w:tcW w:type="dxa" w:w="1440"/>
            <w:shd w:fill="F8F9FA" w:val="clear"/>
          </w:tcPr>
          <w:p>
            <w:r/>
            <w:r>
              <w:rPr>
                <w:rFonts w:ascii="Open Sans" w:hAnsi="Open Sans"/>
                <w:b/>
                <w:i w:val="0"/>
                <w:color w:val="1A1A2E"/>
                <w:sz w:val="18"/>
              </w:rPr>
              <w:t>$35.00</w:t>
            </w:r>
          </w:p>
        </w:tc>
      </w:tr>
    </w:tbl>
    <w:p>
      <w:r>
        <w:br w:type="page"/>
      </w:r>
    </w:p>
    <w:p>
      <w:pPr>
        <w:spacing w:before="200" w:after="120"/>
        <w:pBdr>
          <w:bottom w:val="single" w:sz="8" w:space="2" w:color="006DB6"/>
        </w:pBdr>
      </w:pPr>
      <w:r>
        <w:rPr>
          <w:rFonts w:ascii="Open Sans" w:hAnsi="Open Sans"/>
          <w:b/>
          <w:i w:val="0"/>
          <w:color w:val="006DB6"/>
          <w:sz w:val="28"/>
        </w:rPr>
        <w:t>Virtual Staff — Contracted Support</w:t>
      </w:r>
    </w:p>
    <w:p>
      <w:pPr>
        <w:spacing w:after="160"/>
      </w:pPr>
      <w:r>
        <w:rPr>
          <w:rFonts w:ascii="Open Sans" w:hAnsi="Open Sans"/>
          <w:b w:val="0"/>
          <w:i w:val="0"/>
          <w:color w:val="59595B"/>
          <w:sz w:val="20"/>
        </w:rPr>
        <w:t>2.0 hours per month of dedicated remote technical support, split 50/50 between daytime and nighttime coverage. Daytime hours are further split 50/50 between US-based and India-based (night shift) technicians for cost-optimized coverage during business hours.</w:t>
      </w:r>
    </w:p>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560"/>
        <w:gridCol w:w="1560"/>
        <w:gridCol w:w="1560"/>
        <w:gridCol w:w="1560"/>
        <w:gridCol w:w="1560"/>
        <w:gridCol w:w="1560"/>
      </w:tblGrid>
      <w:tr>
        <w:tc>
          <w:tcPr>
            <w:tcW w:type="dxa" w:w="1728"/>
            <w:shd w:fill="006DB6" w:val="clear"/>
          </w:tcPr>
          <w:p>
            <w:r/>
            <w:r>
              <w:rPr>
                <w:rFonts w:ascii="Open Sans" w:hAnsi="Open Sans"/>
                <w:b/>
                <w:i w:val="0"/>
                <w:color w:val="FFFFFF"/>
                <w:sz w:val="18"/>
              </w:rPr>
              <w:t>Role</w:t>
            </w:r>
          </w:p>
        </w:tc>
        <w:tc>
          <w:tcPr>
            <w:tcW w:type="dxa" w:w="1584"/>
            <w:shd w:fill="006DB6" w:val="clear"/>
          </w:tcPr>
          <w:p>
            <w:r/>
            <w:r>
              <w:rPr>
                <w:rFonts w:ascii="Open Sans" w:hAnsi="Open Sans"/>
                <w:b/>
                <w:i w:val="0"/>
                <w:color w:val="FFFFFF"/>
                <w:sz w:val="18"/>
              </w:rPr>
              <w:t>Location</w:t>
            </w:r>
          </w:p>
        </w:tc>
        <w:tc>
          <w:tcPr>
            <w:tcW w:type="dxa" w:w="1872"/>
            <w:shd w:fill="006DB6" w:val="clear"/>
          </w:tcPr>
          <w:p>
            <w:r/>
            <w:r>
              <w:rPr>
                <w:rFonts w:ascii="Open Sans" w:hAnsi="Open Sans"/>
                <w:b/>
                <w:i w:val="0"/>
                <w:color w:val="FFFFFF"/>
                <w:sz w:val="18"/>
              </w:rPr>
              <w:t>Shift</w:t>
            </w:r>
          </w:p>
        </w:tc>
        <w:tc>
          <w:tcPr>
            <w:tcW w:type="dxa" w:w="1008"/>
            <w:shd w:fill="006DB6" w:val="clear"/>
          </w:tcPr>
          <w:p>
            <w:r/>
            <w:r>
              <w:rPr>
                <w:rFonts w:ascii="Open Sans" w:hAnsi="Open Sans"/>
                <w:b/>
                <w:i w:val="0"/>
                <w:color w:val="FFFFFF"/>
                <w:sz w:val="18"/>
              </w:rPr>
              <w:t>Hours/Mo</w:t>
            </w:r>
          </w:p>
        </w:tc>
        <w:tc>
          <w:tcPr>
            <w:tcW w:type="dxa" w:w="1296"/>
            <w:shd w:fill="006DB6" w:val="clear"/>
          </w:tcPr>
          <w:p>
            <w:r/>
            <w:r>
              <w:rPr>
                <w:rFonts w:ascii="Open Sans" w:hAnsi="Open Sans"/>
                <w:b/>
                <w:i w:val="0"/>
                <w:color w:val="FFFFFF"/>
                <w:sz w:val="18"/>
              </w:rPr>
              <w:t>Rate</w:t>
            </w:r>
          </w:p>
        </w:tc>
        <w:tc>
          <w:tcPr>
            <w:tcW w:type="dxa" w:w="1296"/>
            <w:shd w:fill="006DB6" w:val="clear"/>
          </w:tcPr>
          <w:p>
            <w:r/>
            <w:r>
              <w:rPr>
                <w:rFonts w:ascii="Open Sans" w:hAnsi="Open Sans"/>
                <w:b/>
                <w:i w:val="0"/>
                <w:color w:val="FFFFFF"/>
                <w:sz w:val="18"/>
              </w:rPr>
              <w:t>Monthly</w:t>
            </w:r>
          </w:p>
        </w:tc>
      </w:tr>
      <w:tr>
        <w:tc>
          <w:tcPr>
            <w:tcW w:type="dxa" w:w="1728"/>
          </w:tcPr>
          <w:p>
            <w:r/>
            <w:r>
              <w:rPr>
                <w:rFonts w:ascii="Open Sans" w:hAnsi="Open Sans"/>
                <w:b w:val="0"/>
                <w:i w:val="0"/>
                <w:color w:val="59595B"/>
                <w:sz w:val="18"/>
              </w:rPr>
              <w:t>Tech Support</w:t>
            </w:r>
          </w:p>
        </w:tc>
        <w:tc>
          <w:tcPr>
            <w:tcW w:type="dxa" w:w="1584"/>
          </w:tcPr>
          <w:p>
            <w:r/>
            <w:r>
              <w:rPr>
                <w:rFonts w:ascii="Open Sans" w:hAnsi="Open Sans"/>
                <w:b w:val="0"/>
                <w:i w:val="0"/>
                <w:color w:val="59595B"/>
                <w:sz w:val="18"/>
              </w:rPr>
              <w:t>India — Night</w:t>
            </w:r>
          </w:p>
        </w:tc>
        <w:tc>
          <w:tcPr>
            <w:tcW w:type="dxa" w:w="1872"/>
          </w:tcPr>
          <w:p>
            <w:r/>
            <w:r>
              <w:rPr>
                <w:rFonts w:ascii="Open Sans" w:hAnsi="Open Sans"/>
                <w:b w:val="0"/>
                <w:i w:val="0"/>
                <w:color w:val="59595B"/>
                <w:sz w:val="18"/>
              </w:rPr>
              <w:t>Day (US Biz Hours)</w:t>
            </w:r>
          </w:p>
        </w:tc>
        <w:tc>
          <w:tcPr>
            <w:tcW w:type="dxa" w:w="1008"/>
          </w:tcPr>
          <w:p>
            <w:r/>
            <w:r>
              <w:rPr>
                <w:rFonts w:ascii="Open Sans" w:hAnsi="Open Sans"/>
                <w:b w:val="0"/>
                <w:i w:val="0"/>
                <w:color w:val="59595B"/>
                <w:sz w:val="18"/>
              </w:rPr>
              <w:t>1.00</w:t>
            </w:r>
          </w:p>
        </w:tc>
        <w:tc>
          <w:tcPr>
            <w:tcW w:type="dxa" w:w="1296"/>
          </w:tcPr>
          <w:p>
            <w:r/>
            <w:r>
              <w:rPr>
                <w:rFonts w:ascii="Open Sans" w:hAnsi="Open Sans"/>
                <w:b w:val="0"/>
                <w:i w:val="0"/>
                <w:color w:val="59595B"/>
                <w:sz w:val="18"/>
              </w:rPr>
              <w:t>$30.00/hr</w:t>
            </w:r>
          </w:p>
        </w:tc>
        <w:tc>
          <w:tcPr>
            <w:tcW w:type="dxa" w:w="1296"/>
          </w:tcPr>
          <w:p>
            <w:r/>
            <w:r>
              <w:rPr>
                <w:rFonts w:ascii="Open Sans" w:hAnsi="Open Sans"/>
                <w:b w:val="0"/>
                <w:i w:val="0"/>
                <w:color w:val="59595B"/>
                <w:sz w:val="18"/>
              </w:rPr>
              <w:t>$30.00</w:t>
            </w:r>
          </w:p>
        </w:tc>
      </w:tr>
      <w:tr>
        <w:tc>
          <w:tcPr>
            <w:tcW w:type="dxa" w:w="1728"/>
          </w:tcPr>
          <w:p>
            <w:r/>
            <w:r>
              <w:rPr>
                <w:rFonts w:ascii="Open Sans" w:hAnsi="Open Sans"/>
                <w:b w:val="0"/>
                <w:i w:val="0"/>
                <w:color w:val="59595B"/>
                <w:sz w:val="18"/>
              </w:rPr>
              <w:t>Tech Support</w:t>
            </w:r>
          </w:p>
        </w:tc>
        <w:tc>
          <w:tcPr>
            <w:tcW w:type="dxa" w:w="1584"/>
          </w:tcPr>
          <w:p>
            <w:r/>
            <w:r>
              <w:rPr>
                <w:rFonts w:ascii="Open Sans" w:hAnsi="Open Sans"/>
                <w:b w:val="0"/>
                <w:i w:val="0"/>
                <w:color w:val="59595B"/>
                <w:sz w:val="18"/>
              </w:rPr>
              <w:t>India — Day</w:t>
            </w:r>
          </w:p>
        </w:tc>
        <w:tc>
          <w:tcPr>
            <w:tcW w:type="dxa" w:w="1872"/>
          </w:tcPr>
          <w:p>
            <w:r/>
            <w:r>
              <w:rPr>
                <w:rFonts w:ascii="Open Sans" w:hAnsi="Open Sans"/>
                <w:b w:val="0"/>
                <w:i w:val="0"/>
                <w:color w:val="59595B"/>
                <w:sz w:val="18"/>
              </w:rPr>
              <w:t>Night (US After-Hours)</w:t>
            </w:r>
          </w:p>
        </w:tc>
        <w:tc>
          <w:tcPr>
            <w:tcW w:type="dxa" w:w="1008"/>
          </w:tcPr>
          <w:p>
            <w:r/>
            <w:r>
              <w:rPr>
                <w:rFonts w:ascii="Open Sans" w:hAnsi="Open Sans"/>
                <w:b w:val="0"/>
                <w:i w:val="0"/>
                <w:color w:val="59595B"/>
                <w:sz w:val="18"/>
              </w:rPr>
              <w:t>1.00</w:t>
            </w:r>
          </w:p>
        </w:tc>
        <w:tc>
          <w:tcPr>
            <w:tcW w:type="dxa" w:w="1296"/>
          </w:tcPr>
          <w:p>
            <w:r/>
            <w:r>
              <w:rPr>
                <w:rFonts w:ascii="Open Sans" w:hAnsi="Open Sans"/>
                <w:b w:val="0"/>
                <w:i w:val="0"/>
                <w:color w:val="59595B"/>
                <w:sz w:val="18"/>
              </w:rPr>
              <w:t>$15.00/hr</w:t>
            </w:r>
          </w:p>
        </w:tc>
        <w:tc>
          <w:tcPr>
            <w:tcW w:type="dxa" w:w="1296"/>
          </w:tcPr>
          <w:p>
            <w:r/>
            <w:r>
              <w:rPr>
                <w:rFonts w:ascii="Open Sans" w:hAnsi="Open Sans"/>
                <w:b w:val="0"/>
                <w:i w:val="0"/>
                <w:color w:val="59595B"/>
                <w:sz w:val="18"/>
              </w:rPr>
              <w:t>$15.00</w:t>
            </w:r>
          </w:p>
        </w:tc>
      </w:tr>
      <w:tr>
        <w:tc>
          <w:tcPr>
            <w:tcW w:type="dxa" w:w="1728"/>
            <w:shd w:fill="F8F9FA" w:val="clear"/>
          </w:tcPr>
          <w:p>
            <w:r/>
            <w:r>
              <w:rPr>
                <w:rFonts w:ascii="Open Sans" w:hAnsi="Open Sans"/>
                <w:b/>
                <w:i w:val="0"/>
                <w:color w:val="1A1A2E"/>
                <w:sz w:val="18"/>
              </w:rPr>
              <w:t>SUBTOTAL — VIRTUAL STAFF</w:t>
            </w:r>
          </w:p>
        </w:tc>
        <w:tc>
          <w:tcPr>
            <w:tcW w:type="dxa" w:w="1584"/>
            <w:shd w:fill="F8F9FA" w:val="clear"/>
          </w:tcPr>
          <w:p>
            <w:r/>
            <w:r>
              <w:rPr>
                <w:rFonts w:ascii="Open Sans" w:hAnsi="Open Sans"/>
                <w:b/>
                <w:i w:val="0"/>
                <w:color w:val="1A1A2E"/>
                <w:sz w:val="18"/>
              </w:rPr>
            </w:r>
          </w:p>
        </w:tc>
        <w:tc>
          <w:tcPr>
            <w:tcW w:type="dxa" w:w="1872"/>
            <w:shd w:fill="F8F9FA" w:val="clear"/>
          </w:tcPr>
          <w:p>
            <w:r/>
            <w:r>
              <w:rPr>
                <w:rFonts w:ascii="Open Sans" w:hAnsi="Open Sans"/>
                <w:b/>
                <w:i w:val="0"/>
                <w:color w:val="1A1A2E"/>
                <w:sz w:val="18"/>
              </w:rPr>
            </w:r>
          </w:p>
        </w:tc>
        <w:tc>
          <w:tcPr>
            <w:tcW w:type="dxa" w:w="1008"/>
            <w:shd w:fill="F8F9FA" w:val="clear"/>
          </w:tcPr>
          <w:p>
            <w:r/>
            <w:r>
              <w:rPr>
                <w:rFonts w:ascii="Open Sans" w:hAnsi="Open Sans"/>
                <w:b/>
                <w:i w:val="0"/>
                <w:color w:val="1A1A2E"/>
                <w:sz w:val="18"/>
              </w:rPr>
              <w:t>2</w:t>
            </w:r>
          </w:p>
        </w:tc>
        <w:tc>
          <w:tcPr>
            <w:tcW w:type="dxa" w:w="1296"/>
            <w:shd w:fill="F8F9FA" w:val="clear"/>
          </w:tcPr>
          <w:p>
            <w:r/>
            <w:r>
              <w:rPr>
                <w:rFonts w:ascii="Open Sans" w:hAnsi="Open Sans"/>
                <w:b/>
                <w:i w:val="0"/>
                <w:color w:val="1A1A2E"/>
                <w:sz w:val="18"/>
              </w:rPr>
            </w:r>
          </w:p>
        </w:tc>
        <w:tc>
          <w:tcPr>
            <w:tcW w:type="dxa" w:w="1296"/>
            <w:shd w:fill="F8F9FA" w:val="clear"/>
          </w:tcPr>
          <w:p>
            <w:r/>
            <w:r>
              <w:rPr>
                <w:rFonts w:ascii="Open Sans" w:hAnsi="Open Sans"/>
                <w:b/>
                <w:i w:val="0"/>
                <w:color w:val="1A1A2E"/>
                <w:sz w:val="18"/>
              </w:rPr>
              <w:t>$45.00</w:t>
            </w:r>
          </w:p>
        </w:tc>
      </w:tr>
    </w:tbl>
    <w:p>
      <w:pPr>
        <w:spacing w:before="160"/>
      </w:pPr>
      <w:r>
        <w:rPr>
          <w:rFonts w:ascii="Open Sans" w:hAnsi="Open Sans"/>
          <w:b/>
          <w:i w:val="0"/>
          <w:color w:val="1A1A2E"/>
          <w:sz w:val="20"/>
        </w:rPr>
        <w:t>Naming Convention:</w:t>
      </w:r>
    </w:p>
    <w:p>
      <w:pPr>
        <w:pStyle w:val="ListBullet"/>
        <w:spacing w:after="40"/>
      </w:pPr>
      <w:r>
        <w:rPr>
          <w:rFonts w:ascii="Open Sans" w:hAnsi="Open Sans"/>
          <w:b/>
          <w:i w:val="0"/>
          <w:color w:val="1A1A2E"/>
          <w:sz w:val="20"/>
        </w:rPr>
        <w:t xml:space="preserve">“India — Night” </w:t>
      </w:r>
      <w:r>
        <w:rPr>
          <w:rFonts w:ascii="Open Sans" w:hAnsi="Open Sans"/>
          <w:b w:val="0"/>
          <w:i w:val="0"/>
          <w:color w:val="59595B"/>
          <w:sz w:val="20"/>
        </w:rPr>
        <w:t>refers to India-based staff working during US business hours (nighttime in India)</w:t>
      </w:r>
    </w:p>
    <w:p>
      <w:pPr>
        <w:pStyle w:val="ListBullet"/>
        <w:spacing w:after="40"/>
      </w:pPr>
      <w:r>
        <w:rPr>
          <w:rFonts w:ascii="Open Sans" w:hAnsi="Open Sans"/>
          <w:b/>
          <w:i w:val="0"/>
          <w:color w:val="1A1A2E"/>
          <w:sz w:val="20"/>
        </w:rPr>
        <w:t xml:space="preserve">“India — Day” </w:t>
      </w:r>
      <w:r>
        <w:rPr>
          <w:rFonts w:ascii="Open Sans" w:hAnsi="Open Sans"/>
          <w:b w:val="0"/>
          <w:i w:val="0"/>
          <w:color w:val="59595B"/>
          <w:sz w:val="20"/>
        </w:rPr>
        <w:t>refers to India-based staff working during US after-hours (daytime in India)</w:t>
      </w:r>
    </w:p>
    <w:p>
      <w:pPr>
        <w:spacing w:before="80"/>
      </w:pPr>
      <w:r>
        <w:rPr>
          <w:rFonts w:ascii="Open Sans" w:hAnsi="Open Sans"/>
          <w:b/>
          <w:i w:val="0"/>
          <w:color w:val="1A1A2E"/>
          <w:sz w:val="20"/>
        </w:rPr>
        <w:t xml:space="preserve">Billing Model: </w:t>
      </w:r>
      <w:r>
        <w:rPr>
          <w:rFonts w:ascii="Open Sans" w:hAnsi="Open Sans"/>
          <w:b w:val="0"/>
          <w:i w:val="0"/>
          <w:color w:val="59595B"/>
          <w:sz w:val="20"/>
        </w:rPr>
        <w:t>Cycle-based billing with reconciliation. Initial cycle based on estimated 2.0 hours/month per the Service Order. Actual usage tracked from day one with reconciliation at end of each cycle period.</w:t>
      </w:r>
    </w:p>
    <w:p>
      <w:pPr>
        <w:spacing w:after="80"/>
      </w:pPr>
    </w:p>
    <w:p>
      <w:pPr>
        <w:spacing w:before="200" w:after="120"/>
        <w:pBdr>
          <w:bottom w:val="single" w:sz="8" w:space="2" w:color="006DB6"/>
        </w:pBdr>
      </w:pPr>
      <w:r>
        <w:rPr>
          <w:rFonts w:ascii="Open Sans" w:hAnsi="Open Sans"/>
          <w:b/>
          <w:i w:val="0"/>
          <w:color w:val="006DB6"/>
          <w:sz w:val="28"/>
        </w:rPr>
        <w:t>On-Site Support</w:t>
      </w:r>
    </w:p>
    <w:p>
      <w:pPr>
        <w:spacing w:after="160"/>
      </w:pPr>
      <w:r>
        <w:rPr>
          <w:rFonts w:ascii="Open Sans" w:hAnsi="Open Sans"/>
          <w:b w:val="0"/>
          <w:i w:val="0"/>
          <w:color w:val="59595B"/>
          <w:sz w:val="20"/>
        </w:rPr>
        <w:t>On-site technical support is available for issues that cannot be resolved remotely. On-site visits are billed at the rates below with no trip charges.</w:t>
      </w:r>
    </w:p>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2880"/>
            <w:shd w:fill="006DB6" w:val="clear"/>
          </w:tcPr>
          <w:p>
            <w:r/>
            <w:r>
              <w:rPr>
                <w:rFonts w:ascii="Open Sans" w:hAnsi="Open Sans"/>
                <w:b/>
                <w:i w:val="0"/>
                <w:color w:val="FFFFFF"/>
                <w:sz w:val="18"/>
              </w:rPr>
              <w:t>Service</w:t>
            </w:r>
          </w:p>
        </w:tc>
        <w:tc>
          <w:tcPr>
            <w:tcW w:type="dxa" w:w="1728"/>
            <w:shd w:fill="006DB6" w:val="clear"/>
          </w:tcPr>
          <w:p>
            <w:r/>
            <w:r>
              <w:rPr>
                <w:rFonts w:ascii="Open Sans" w:hAnsi="Open Sans"/>
                <w:b/>
                <w:i w:val="0"/>
                <w:color w:val="FFFFFF"/>
                <w:sz w:val="18"/>
              </w:rPr>
              <w:t>Rate</w:t>
            </w:r>
          </w:p>
        </w:tc>
        <w:tc>
          <w:tcPr>
            <w:tcW w:type="dxa" w:w="2160"/>
            <w:shd w:fill="006DB6" w:val="clear"/>
          </w:tcPr>
          <w:p>
            <w:r/>
            <w:r>
              <w:rPr>
                <w:rFonts w:ascii="Open Sans" w:hAnsi="Open Sans"/>
                <w:b/>
                <w:i w:val="0"/>
                <w:color w:val="FFFFFF"/>
                <w:sz w:val="18"/>
              </w:rPr>
              <w:t>Minimum</w:t>
            </w:r>
          </w:p>
        </w:tc>
        <w:tc>
          <w:tcPr>
            <w:tcW w:type="dxa" w:w="1872"/>
            <w:shd w:fill="006DB6" w:val="clear"/>
          </w:tcPr>
          <w:p>
            <w:r/>
            <w:r>
              <w:rPr>
                <w:rFonts w:ascii="Open Sans" w:hAnsi="Open Sans"/>
                <w:b/>
                <w:i w:val="0"/>
                <w:color w:val="FFFFFF"/>
                <w:sz w:val="18"/>
              </w:rPr>
              <w:t>Trip Charge</w:t>
            </w:r>
          </w:p>
        </w:tc>
      </w:tr>
      <w:tr>
        <w:tc>
          <w:tcPr>
            <w:tcW w:type="dxa" w:w="2880"/>
          </w:tcPr>
          <w:p>
            <w:r/>
            <w:r>
              <w:rPr>
                <w:rFonts w:ascii="Open Sans" w:hAnsi="Open Sans"/>
                <w:b w:val="0"/>
                <w:i w:val="0"/>
                <w:color w:val="59595B"/>
                <w:sz w:val="18"/>
              </w:rPr>
              <w:t>On-Site Support (US)</w:t>
            </w:r>
          </w:p>
        </w:tc>
        <w:tc>
          <w:tcPr>
            <w:tcW w:type="dxa" w:w="1728"/>
          </w:tcPr>
          <w:p>
            <w:r/>
            <w:r>
              <w:rPr>
                <w:rFonts w:ascii="Open Sans" w:hAnsi="Open Sans"/>
                <w:b w:val="0"/>
                <w:i w:val="0"/>
                <w:color w:val="59595B"/>
                <w:sz w:val="18"/>
              </w:rPr>
              <w:t>$150.00/hr</w:t>
            </w:r>
          </w:p>
        </w:tc>
        <w:tc>
          <w:tcPr>
            <w:tcW w:type="dxa" w:w="2160"/>
          </w:tcPr>
          <w:p>
            <w:r/>
            <w:r>
              <w:rPr>
                <w:rFonts w:ascii="Open Sans" w:hAnsi="Open Sans"/>
                <w:b w:val="0"/>
                <w:i w:val="0"/>
                <w:color w:val="59595B"/>
                <w:sz w:val="18"/>
              </w:rPr>
              <w:t>2-hour minimum</w:t>
            </w:r>
          </w:p>
        </w:tc>
        <w:tc>
          <w:tcPr>
            <w:tcW w:type="dxa" w:w="1872"/>
          </w:tcPr>
          <w:p>
            <w:r/>
            <w:r>
              <w:rPr>
                <w:rFonts w:ascii="Open Sans" w:hAnsi="Open Sans"/>
                <w:b w:val="0"/>
                <w:i w:val="0"/>
                <w:color w:val="59595B"/>
                <w:sz w:val="18"/>
              </w:rPr>
              <w:t>No trip charges</w:t>
            </w:r>
          </w:p>
        </w:tc>
      </w:tr>
    </w:tbl>
    <w:p>
      <w:pPr>
        <w:spacing w:after="160"/>
      </w:pPr>
    </w:p>
    <w:p>
      <w:pPr>
        <w:spacing w:before="200" w:after="120"/>
        <w:pBdr>
          <w:bottom w:val="single" w:sz="8" w:space="2" w:color="006DB6"/>
        </w:pBdr>
      </w:pPr>
      <w:r>
        <w:rPr>
          <w:rFonts w:ascii="Open Sans" w:hAnsi="Open Sans"/>
          <w:b/>
          <w:i w:val="0"/>
          <w:color w:val="006DB6"/>
          <w:sz w:val="28"/>
        </w:rPr>
        <w:t>Total Monthly Investment Summary</w:t>
      </w:r>
    </w:p>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5040"/>
            <w:shd w:fill="006DB6" w:val="clear"/>
          </w:tcPr>
          <w:p>
            <w:r/>
            <w:r>
              <w:rPr>
                <w:rFonts w:ascii="Open Sans" w:hAnsi="Open Sans"/>
                <w:b/>
                <w:i w:val="0"/>
                <w:color w:val="FFFFFF"/>
                <w:sz w:val="18"/>
              </w:rPr>
              <w:t>Category</w:t>
            </w:r>
          </w:p>
        </w:tc>
        <w:tc>
          <w:tcPr>
            <w:tcW w:type="dxa" w:w="3600"/>
            <w:shd w:fill="006DB6" w:val="clear"/>
          </w:tcPr>
          <w:p>
            <w:r/>
            <w:r>
              <w:rPr>
                <w:rFonts w:ascii="Open Sans" w:hAnsi="Open Sans"/>
                <w:b/>
                <w:i w:val="0"/>
                <w:color w:val="FFFFFF"/>
                <w:sz w:val="18"/>
              </w:rPr>
              <w:t>Monthly</w:t>
            </w:r>
          </w:p>
        </w:tc>
      </w:tr>
      <w:tr>
        <w:tc>
          <w:tcPr>
            <w:tcW w:type="dxa" w:w="5040"/>
          </w:tcPr>
          <w:p>
            <w:r/>
            <w:r>
              <w:rPr>
                <w:rFonts w:ascii="Open Sans" w:hAnsi="Open Sans"/>
                <w:b w:val="0"/>
                <w:i w:val="0"/>
                <w:color w:val="59595B"/>
                <w:sz w:val="18"/>
              </w:rPr>
              <w:t>Desktop &amp; Endpoint Security</w:t>
            </w:r>
          </w:p>
        </w:tc>
        <w:tc>
          <w:tcPr>
            <w:tcW w:type="dxa" w:w="3600"/>
          </w:tcPr>
          <w:p>
            <w:r/>
            <w:r>
              <w:rPr>
                <w:rFonts w:ascii="Open Sans" w:hAnsi="Open Sans"/>
                <w:b w:val="0"/>
                <w:i w:val="0"/>
                <w:color w:val="59595B"/>
                <w:sz w:val="18"/>
              </w:rPr>
              <w:t>$26.50</w:t>
            </w:r>
          </w:p>
        </w:tc>
      </w:tr>
      <w:tr>
        <w:tc>
          <w:tcPr>
            <w:tcW w:type="dxa" w:w="5040"/>
          </w:tcPr>
          <w:p>
            <w:r/>
            <w:r>
              <w:rPr>
                <w:rFonts w:ascii="Open Sans" w:hAnsi="Open Sans"/>
                <w:b w:val="0"/>
                <w:i w:val="0"/>
                <w:color w:val="59595B"/>
                <w:sz w:val="18"/>
              </w:rPr>
              <w:t>Email Security &amp; Compliance</w:t>
            </w:r>
          </w:p>
        </w:tc>
        <w:tc>
          <w:tcPr>
            <w:tcW w:type="dxa" w:w="3600"/>
          </w:tcPr>
          <w:p>
            <w:r/>
            <w:r>
              <w:rPr>
                <w:rFonts w:ascii="Open Sans" w:hAnsi="Open Sans"/>
                <w:b w:val="0"/>
                <w:i w:val="0"/>
                <w:color w:val="59595B"/>
                <w:sz w:val="18"/>
              </w:rPr>
              <w:t>$35.00</w:t>
            </w:r>
          </w:p>
        </w:tc>
      </w:tr>
      <w:tr>
        <w:tc>
          <w:tcPr>
            <w:tcW w:type="dxa" w:w="5040"/>
          </w:tcPr>
          <w:p>
            <w:r/>
            <w:r>
              <w:rPr>
                <w:rFonts w:ascii="Open Sans" w:hAnsi="Open Sans"/>
                <w:b w:val="0"/>
                <w:i w:val="0"/>
                <w:color w:val="59595B"/>
                <w:sz w:val="18"/>
              </w:rPr>
              <w:t>Virtual Staff Support</w:t>
            </w:r>
          </w:p>
        </w:tc>
        <w:tc>
          <w:tcPr>
            <w:tcW w:type="dxa" w:w="3600"/>
          </w:tcPr>
          <w:p>
            <w:r/>
            <w:r>
              <w:rPr>
                <w:rFonts w:ascii="Open Sans" w:hAnsi="Open Sans"/>
                <w:b w:val="0"/>
                <w:i w:val="0"/>
                <w:color w:val="59595B"/>
                <w:sz w:val="18"/>
              </w:rPr>
              <w:t>$45.00</w:t>
            </w:r>
          </w:p>
        </w:tc>
      </w:tr>
      <w:tr>
        <w:tc>
          <w:tcPr>
            <w:tcW w:type="dxa" w:w="5040"/>
            <w:shd w:fill="F8F9FA" w:val="clear"/>
          </w:tcPr>
          <w:p>
            <w:r/>
            <w:r>
              <w:rPr>
                <w:rFonts w:ascii="Open Sans" w:hAnsi="Open Sans"/>
                <w:b/>
                <w:i w:val="0"/>
                <w:color w:val="1A1A2E"/>
                <w:sz w:val="18"/>
              </w:rPr>
              <w:t>TOTAL MONTHLY</w:t>
            </w:r>
          </w:p>
        </w:tc>
        <w:tc>
          <w:tcPr>
            <w:tcW w:type="dxa" w:w="3600"/>
            <w:shd w:fill="F8F9FA" w:val="clear"/>
          </w:tcPr>
          <w:p>
            <w:r/>
            <w:r>
              <w:rPr>
                <w:rFonts w:ascii="Open Sans" w:hAnsi="Open Sans"/>
                <w:b/>
                <w:i w:val="0"/>
                <w:color w:val="1A1A2E"/>
                <w:sz w:val="18"/>
              </w:rPr>
              <w:t>$106.50</w:t>
            </w:r>
          </w:p>
        </w:tc>
      </w:tr>
    </w:tbl>
    <w:p>
      <w:r>
        <w:br w:type="page"/>
      </w:r>
    </w:p>
    <w:p>
      <w:pPr>
        <w:spacing w:before="200" w:after="120"/>
        <w:pBdr>
          <w:bottom w:val="single" w:sz="8" w:space="2" w:color="006DB6"/>
        </w:pBdr>
      </w:pPr>
      <w:r>
        <w:rPr>
          <w:rFonts w:ascii="Open Sans" w:hAnsi="Open Sans"/>
          <w:b/>
          <w:i w:val="0"/>
          <w:color w:val="006DB6"/>
          <w:sz w:val="28"/>
        </w:rPr>
        <w:t>Labor Rate Card</w:t>
      </w:r>
    </w:p>
    <w:p>
      <w:pPr>
        <w:spacing w:after="160"/>
      </w:pPr>
      <w:r>
        <w:rPr>
          <w:rFonts w:ascii="Open Sans" w:hAnsi="Open Sans"/>
          <w:b w:val="0"/>
          <w:i w:val="0"/>
          <w:color w:val="59595B"/>
          <w:sz w:val="20"/>
        </w:rPr>
        <w:t>The following rates apply to all services provided under this Agreement. Contracted rates are available when Client commits to a billing cycle under the Cycle-Based Billing Model described in Schedule A.</w:t>
      </w:r>
    </w:p>
    <w:p>
      <w:pPr>
        <w:spacing w:after="40"/>
      </w:pPr>
    </w:p>
    <w:p>
      <w:pPr>
        <w:spacing w:after="80"/>
      </w:pPr>
      <w:r>
        <w:rPr>
          <w:rFonts w:ascii="Open Sans" w:hAnsi="Open Sans"/>
          <w:b/>
          <w:i w:val="0"/>
          <w:color w:val="006DB6"/>
          <w:sz w:val="22"/>
        </w:rPr>
        <w:t>United States — Based Staff</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728"/>
            <w:shd w:fill="006DB6" w:val="clear"/>
          </w:tcPr>
          <w:p>
            <w:r/>
            <w:r>
              <w:rPr>
                <w:rFonts w:ascii="Open Sans" w:hAnsi="Open Sans"/>
                <w:b/>
                <w:i w:val="0"/>
                <w:color w:val="FFFFFF"/>
                <w:sz w:val="18"/>
              </w:rPr>
              <w:t>Role</w:t>
            </w:r>
          </w:p>
        </w:tc>
        <w:tc>
          <w:tcPr>
            <w:tcW w:type="dxa" w:w="1296"/>
            <w:shd w:fill="006DB6" w:val="clear"/>
          </w:tcPr>
          <w:p>
            <w:r/>
            <w:r>
              <w:rPr>
                <w:rFonts w:ascii="Open Sans" w:hAnsi="Open Sans"/>
                <w:b/>
                <w:i w:val="0"/>
                <w:color w:val="FFFFFF"/>
                <w:sz w:val="18"/>
              </w:rPr>
              <w:t>Hourly Rate</w:t>
            </w:r>
          </w:p>
        </w:tc>
        <w:tc>
          <w:tcPr>
            <w:tcW w:type="dxa" w:w="1440"/>
            <w:shd w:fill="006DB6" w:val="clear"/>
          </w:tcPr>
          <w:p>
            <w:r/>
            <w:r>
              <w:rPr>
                <w:rFonts w:ascii="Open Sans" w:hAnsi="Open Sans"/>
                <w:b/>
                <w:i w:val="0"/>
                <w:color w:val="FFFFFF"/>
                <w:sz w:val="18"/>
              </w:rPr>
              <w:t>After-Hours Rate</w:t>
            </w:r>
          </w:p>
        </w:tc>
        <w:tc>
          <w:tcPr>
            <w:tcW w:type="dxa" w:w="1440"/>
            <w:shd w:fill="006DB6" w:val="clear"/>
          </w:tcPr>
          <w:p>
            <w:r/>
            <w:r>
              <w:rPr>
                <w:rFonts w:ascii="Open Sans" w:hAnsi="Open Sans"/>
                <w:b/>
                <w:i w:val="0"/>
                <w:color w:val="FFFFFF"/>
                <w:sz w:val="18"/>
              </w:rPr>
              <w:t>Contracted Rate</w:t>
            </w:r>
          </w:p>
        </w:tc>
        <w:tc>
          <w:tcPr>
            <w:tcW w:type="dxa" w:w="2880"/>
            <w:shd w:fill="006DB6" w:val="clear"/>
          </w:tcPr>
          <w:p>
            <w:r/>
            <w:r>
              <w:rPr>
                <w:rFonts w:ascii="Open Sans" w:hAnsi="Open Sans"/>
                <w:b/>
                <w:i w:val="0"/>
                <w:color w:val="FFFFFF"/>
                <w:sz w:val="18"/>
              </w:rPr>
              <w:t>Description</w:t>
            </w:r>
          </w:p>
        </w:tc>
      </w:tr>
      <w:tr>
        <w:tc>
          <w:tcPr>
            <w:tcW w:type="dxa" w:w="1728"/>
          </w:tcPr>
          <w:p>
            <w:r/>
            <w:r>
              <w:rPr>
                <w:rFonts w:ascii="Open Sans" w:hAnsi="Open Sans"/>
                <w:b w:val="0"/>
                <w:i w:val="0"/>
                <w:color w:val="59595B"/>
                <w:sz w:val="18"/>
              </w:rPr>
              <w:t>CTO Advisory</w:t>
            </w:r>
          </w:p>
        </w:tc>
        <w:tc>
          <w:tcPr>
            <w:tcW w:type="dxa" w:w="1296"/>
          </w:tcPr>
          <w:p>
            <w:r/>
            <w:r>
              <w:rPr>
                <w:rFonts w:ascii="Open Sans" w:hAnsi="Open Sans"/>
                <w:b w:val="0"/>
                <w:i w:val="0"/>
                <w:color w:val="59595B"/>
                <w:sz w:val="18"/>
              </w:rPr>
              <w:t>$250/hr</w:t>
            </w:r>
          </w:p>
        </w:tc>
        <w:tc>
          <w:tcPr>
            <w:tcW w:type="dxa" w:w="1440"/>
          </w:tcPr>
          <w:p>
            <w:r/>
            <w:r>
              <w:rPr>
                <w:rFonts w:ascii="Open Sans" w:hAnsi="Open Sans"/>
                <w:b w:val="0"/>
                <w:i w:val="0"/>
                <w:color w:val="59595B"/>
                <w:sz w:val="18"/>
              </w:rPr>
              <w:t>$350/hr</w:t>
            </w:r>
          </w:p>
        </w:tc>
        <w:tc>
          <w:tcPr>
            <w:tcW w:type="dxa" w:w="1440"/>
          </w:tcPr>
          <w:p>
            <w:r/>
            <w:r>
              <w:rPr>
                <w:rFonts w:ascii="Open Sans" w:hAnsi="Open Sans"/>
                <w:b w:val="0"/>
                <w:i w:val="0"/>
                <w:color w:val="59595B"/>
                <w:sz w:val="18"/>
              </w:rPr>
              <w:t>$225/hr</w:t>
            </w:r>
          </w:p>
        </w:tc>
        <w:tc>
          <w:tcPr>
            <w:tcW w:type="dxa" w:w="2880"/>
          </w:tcPr>
          <w:p>
            <w:r/>
            <w:r>
              <w:rPr>
                <w:rFonts w:ascii="Open Sans" w:hAnsi="Open Sans"/>
                <w:b w:val="0"/>
                <w:i w:val="0"/>
                <w:color w:val="59595B"/>
                <w:sz w:val="18"/>
              </w:rPr>
              <w:t>Strategic technology leadership and advisory</w:t>
            </w:r>
          </w:p>
        </w:tc>
      </w:tr>
      <w:tr>
        <w:tc>
          <w:tcPr>
            <w:tcW w:type="dxa" w:w="1728"/>
          </w:tcPr>
          <w:p>
            <w:r/>
            <w:r>
              <w:rPr>
                <w:rFonts w:ascii="Open Sans" w:hAnsi="Open Sans"/>
                <w:b w:val="0"/>
                <w:i w:val="0"/>
                <w:color w:val="59595B"/>
                <w:sz w:val="18"/>
              </w:rPr>
              <w:t>Developer</w:t>
            </w:r>
          </w:p>
        </w:tc>
        <w:tc>
          <w:tcPr>
            <w:tcW w:type="dxa" w:w="1296"/>
          </w:tcPr>
          <w:p>
            <w:r/>
            <w:r>
              <w:rPr>
                <w:rFonts w:ascii="Open Sans" w:hAnsi="Open Sans"/>
                <w:b w:val="0"/>
                <w:i w:val="0"/>
                <w:color w:val="59595B"/>
                <w:sz w:val="18"/>
              </w:rPr>
              <w:t>$150/hr</w:t>
            </w:r>
          </w:p>
        </w:tc>
        <w:tc>
          <w:tcPr>
            <w:tcW w:type="dxa" w:w="1440"/>
          </w:tcPr>
          <w:p>
            <w:r/>
            <w:r>
              <w:rPr>
                <w:rFonts w:ascii="Open Sans" w:hAnsi="Open Sans"/>
                <w:b w:val="0"/>
                <w:i w:val="0"/>
                <w:color w:val="59595B"/>
                <w:sz w:val="18"/>
              </w:rPr>
              <w:t>N/A</w:t>
            </w:r>
          </w:p>
        </w:tc>
        <w:tc>
          <w:tcPr>
            <w:tcW w:type="dxa" w:w="1440"/>
          </w:tcPr>
          <w:p>
            <w:r/>
            <w:r>
              <w:rPr>
                <w:rFonts w:ascii="Open Sans" w:hAnsi="Open Sans"/>
                <w:b w:val="0"/>
                <w:i w:val="0"/>
                <w:color w:val="59595B"/>
                <w:sz w:val="18"/>
              </w:rPr>
              <w:t>$125/hr</w:t>
            </w:r>
          </w:p>
        </w:tc>
        <w:tc>
          <w:tcPr>
            <w:tcW w:type="dxa" w:w="2880"/>
          </w:tcPr>
          <w:p>
            <w:r/>
            <w:r>
              <w:rPr>
                <w:rFonts w:ascii="Open Sans" w:hAnsi="Open Sans"/>
                <w:b w:val="0"/>
                <w:i w:val="0"/>
                <w:color w:val="59595B"/>
                <w:sz w:val="18"/>
              </w:rPr>
              <w:t>Software development and engineering</w:t>
            </w:r>
          </w:p>
        </w:tc>
      </w:tr>
      <w:tr>
        <w:tc>
          <w:tcPr>
            <w:tcW w:type="dxa" w:w="1728"/>
          </w:tcPr>
          <w:p>
            <w:r/>
            <w:r>
              <w:rPr>
                <w:rFonts w:ascii="Open Sans" w:hAnsi="Open Sans"/>
                <w:b w:val="0"/>
                <w:i w:val="0"/>
                <w:color w:val="59595B"/>
                <w:sz w:val="18"/>
              </w:rPr>
              <w:t>Tech Support</w:t>
            </w:r>
          </w:p>
        </w:tc>
        <w:tc>
          <w:tcPr>
            <w:tcW w:type="dxa" w:w="1296"/>
          </w:tcPr>
          <w:p>
            <w:r/>
            <w:r>
              <w:rPr>
                <w:rFonts w:ascii="Open Sans" w:hAnsi="Open Sans"/>
                <w:b w:val="0"/>
                <w:i w:val="0"/>
                <w:color w:val="59595B"/>
                <w:sz w:val="18"/>
              </w:rPr>
              <w:t>$150/hr</w:t>
            </w:r>
          </w:p>
        </w:tc>
        <w:tc>
          <w:tcPr>
            <w:tcW w:type="dxa" w:w="1440"/>
          </w:tcPr>
          <w:p>
            <w:r/>
            <w:r>
              <w:rPr>
                <w:rFonts w:ascii="Open Sans" w:hAnsi="Open Sans"/>
                <w:b w:val="0"/>
                <w:i w:val="0"/>
                <w:color w:val="59595B"/>
                <w:sz w:val="18"/>
              </w:rPr>
              <w:t>$250/hr</w:t>
            </w:r>
          </w:p>
        </w:tc>
        <w:tc>
          <w:tcPr>
            <w:tcW w:type="dxa" w:w="1440"/>
          </w:tcPr>
          <w:p>
            <w:r/>
            <w:r>
              <w:rPr>
                <w:rFonts w:ascii="Open Sans" w:hAnsi="Open Sans"/>
                <w:b w:val="0"/>
                <w:i w:val="0"/>
                <w:color w:val="59595B"/>
                <w:sz w:val="18"/>
              </w:rPr>
              <w:t>$125/hr</w:t>
            </w:r>
          </w:p>
        </w:tc>
        <w:tc>
          <w:tcPr>
            <w:tcW w:type="dxa" w:w="2880"/>
          </w:tcPr>
          <w:p>
            <w:r/>
            <w:r>
              <w:rPr>
                <w:rFonts w:ascii="Open Sans" w:hAnsi="Open Sans"/>
                <w:b w:val="0"/>
                <w:i w:val="0"/>
                <w:color w:val="59595B"/>
                <w:sz w:val="18"/>
              </w:rPr>
              <w:t>Technical support and systems administration</w:t>
            </w:r>
          </w:p>
        </w:tc>
      </w:tr>
    </w:tbl>
    <w:p>
      <w:pPr>
        <w:spacing w:after="80"/>
      </w:pPr>
    </w:p>
    <w:p>
      <w:pPr>
        <w:spacing w:after="80"/>
      </w:pPr>
      <w:r>
        <w:rPr>
          <w:rFonts w:ascii="Open Sans" w:hAnsi="Open Sans"/>
          <w:b/>
          <w:i w:val="0"/>
          <w:color w:val="006DB6"/>
          <w:sz w:val="22"/>
        </w:rPr>
        <w:t>Offshore — Based Staff</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1872"/>
        <w:gridCol w:w="1872"/>
        <w:gridCol w:w="1872"/>
        <w:gridCol w:w="1872"/>
        <w:gridCol w:w="1872"/>
      </w:tblGrid>
      <w:tr>
        <w:tc>
          <w:tcPr>
            <w:tcW w:type="dxa" w:w="1728"/>
            <w:shd w:fill="006DB6" w:val="clear"/>
          </w:tcPr>
          <w:p>
            <w:r/>
            <w:r>
              <w:rPr>
                <w:rFonts w:ascii="Open Sans" w:hAnsi="Open Sans"/>
                <w:b/>
                <w:i w:val="0"/>
                <w:color w:val="FFFFFF"/>
                <w:sz w:val="18"/>
              </w:rPr>
              <w:t>Role</w:t>
            </w:r>
          </w:p>
        </w:tc>
        <w:tc>
          <w:tcPr>
            <w:tcW w:type="dxa" w:w="1296"/>
            <w:shd w:fill="006DB6" w:val="clear"/>
          </w:tcPr>
          <w:p>
            <w:r/>
            <w:r>
              <w:rPr>
                <w:rFonts w:ascii="Open Sans" w:hAnsi="Open Sans"/>
                <w:b/>
                <w:i w:val="0"/>
                <w:color w:val="FFFFFF"/>
                <w:sz w:val="18"/>
              </w:rPr>
              <w:t>Hourly Rate</w:t>
            </w:r>
          </w:p>
        </w:tc>
        <w:tc>
          <w:tcPr>
            <w:tcW w:type="dxa" w:w="1440"/>
            <w:shd w:fill="006DB6" w:val="clear"/>
          </w:tcPr>
          <w:p>
            <w:r/>
            <w:r>
              <w:rPr>
                <w:rFonts w:ascii="Open Sans" w:hAnsi="Open Sans"/>
                <w:b/>
                <w:i w:val="0"/>
                <w:color w:val="FFFFFF"/>
                <w:sz w:val="18"/>
              </w:rPr>
              <w:t>After-Hours Rate</w:t>
            </w:r>
          </w:p>
        </w:tc>
        <w:tc>
          <w:tcPr>
            <w:tcW w:type="dxa" w:w="1440"/>
            <w:shd w:fill="006DB6" w:val="clear"/>
          </w:tcPr>
          <w:p>
            <w:r/>
            <w:r>
              <w:rPr>
                <w:rFonts w:ascii="Open Sans" w:hAnsi="Open Sans"/>
                <w:b/>
                <w:i w:val="0"/>
                <w:color w:val="FFFFFF"/>
                <w:sz w:val="18"/>
              </w:rPr>
              <w:t>Contracted Rate</w:t>
            </w:r>
          </w:p>
        </w:tc>
        <w:tc>
          <w:tcPr>
            <w:tcW w:type="dxa" w:w="2880"/>
            <w:shd w:fill="006DB6" w:val="clear"/>
          </w:tcPr>
          <w:p>
            <w:r/>
            <w:r>
              <w:rPr>
                <w:rFonts w:ascii="Open Sans" w:hAnsi="Open Sans"/>
                <w:b/>
                <w:i w:val="0"/>
                <w:color w:val="FFFFFF"/>
                <w:sz w:val="18"/>
              </w:rPr>
              <w:t>Description</w:t>
            </w:r>
          </w:p>
        </w:tc>
      </w:tr>
      <w:tr>
        <w:tc>
          <w:tcPr>
            <w:tcW w:type="dxa" w:w="1728"/>
          </w:tcPr>
          <w:p>
            <w:r/>
            <w:r>
              <w:rPr>
                <w:rFonts w:ascii="Open Sans" w:hAnsi="Open Sans"/>
                <w:b w:val="0"/>
                <w:i w:val="0"/>
                <w:color w:val="59595B"/>
                <w:sz w:val="18"/>
              </w:rPr>
              <w:t>Developer</w:t>
            </w:r>
          </w:p>
        </w:tc>
        <w:tc>
          <w:tcPr>
            <w:tcW w:type="dxa" w:w="1296"/>
          </w:tcPr>
          <w:p>
            <w:r/>
            <w:r>
              <w:rPr>
                <w:rFonts w:ascii="Open Sans" w:hAnsi="Open Sans"/>
                <w:b w:val="0"/>
                <w:i w:val="0"/>
                <w:color w:val="59595B"/>
                <w:sz w:val="18"/>
              </w:rPr>
              <w:t>$45/hr</w:t>
            </w:r>
          </w:p>
        </w:tc>
        <w:tc>
          <w:tcPr>
            <w:tcW w:type="dxa" w:w="1440"/>
          </w:tcPr>
          <w:p>
            <w:r/>
            <w:r>
              <w:rPr>
                <w:rFonts w:ascii="Open Sans" w:hAnsi="Open Sans"/>
                <w:b w:val="0"/>
                <w:i w:val="0"/>
                <w:color w:val="59595B"/>
                <w:sz w:val="18"/>
              </w:rPr>
              <w:t>N/A</w:t>
            </w:r>
          </w:p>
        </w:tc>
        <w:tc>
          <w:tcPr>
            <w:tcW w:type="dxa" w:w="1440"/>
          </w:tcPr>
          <w:p>
            <w:r/>
            <w:r>
              <w:rPr>
                <w:rFonts w:ascii="Open Sans" w:hAnsi="Open Sans"/>
                <w:b w:val="0"/>
                <w:i w:val="0"/>
                <w:color w:val="59595B"/>
                <w:sz w:val="18"/>
              </w:rPr>
              <w:t>$30/hr</w:t>
            </w:r>
          </w:p>
        </w:tc>
        <w:tc>
          <w:tcPr>
            <w:tcW w:type="dxa" w:w="2880"/>
          </w:tcPr>
          <w:p>
            <w:r/>
            <w:r>
              <w:rPr>
                <w:rFonts w:ascii="Open Sans" w:hAnsi="Open Sans"/>
                <w:b w:val="0"/>
                <w:i w:val="0"/>
                <w:color w:val="59595B"/>
                <w:sz w:val="18"/>
              </w:rPr>
              <w:t>Software development and engineering</w:t>
            </w:r>
          </w:p>
        </w:tc>
      </w:tr>
      <w:tr>
        <w:tc>
          <w:tcPr>
            <w:tcW w:type="dxa" w:w="1728"/>
          </w:tcPr>
          <w:p>
            <w:r/>
            <w:r>
              <w:rPr>
                <w:rFonts w:ascii="Open Sans" w:hAnsi="Open Sans"/>
                <w:b w:val="0"/>
                <w:i w:val="0"/>
                <w:color w:val="59595B"/>
                <w:sz w:val="18"/>
              </w:rPr>
              <w:t>SEO Specialist</w:t>
            </w:r>
          </w:p>
        </w:tc>
        <w:tc>
          <w:tcPr>
            <w:tcW w:type="dxa" w:w="1296"/>
          </w:tcPr>
          <w:p>
            <w:r/>
            <w:r>
              <w:rPr>
                <w:rFonts w:ascii="Open Sans" w:hAnsi="Open Sans"/>
                <w:b w:val="0"/>
                <w:i w:val="0"/>
                <w:color w:val="59595B"/>
                <w:sz w:val="18"/>
              </w:rPr>
              <w:t>$45/hr</w:t>
            </w:r>
          </w:p>
        </w:tc>
        <w:tc>
          <w:tcPr>
            <w:tcW w:type="dxa" w:w="1440"/>
          </w:tcPr>
          <w:p>
            <w:r/>
            <w:r>
              <w:rPr>
                <w:rFonts w:ascii="Open Sans" w:hAnsi="Open Sans"/>
                <w:b w:val="0"/>
                <w:i w:val="0"/>
                <w:color w:val="59595B"/>
                <w:sz w:val="18"/>
              </w:rPr>
              <w:t>N/A</w:t>
            </w:r>
          </w:p>
        </w:tc>
        <w:tc>
          <w:tcPr>
            <w:tcW w:type="dxa" w:w="1440"/>
          </w:tcPr>
          <w:p>
            <w:r/>
            <w:r>
              <w:rPr>
                <w:rFonts w:ascii="Open Sans" w:hAnsi="Open Sans"/>
                <w:b w:val="0"/>
                <w:i w:val="0"/>
                <w:color w:val="59595B"/>
                <w:sz w:val="18"/>
              </w:rPr>
              <w:t>$30/hr</w:t>
            </w:r>
          </w:p>
        </w:tc>
        <w:tc>
          <w:tcPr>
            <w:tcW w:type="dxa" w:w="2880"/>
          </w:tcPr>
          <w:p>
            <w:r/>
            <w:r>
              <w:rPr>
                <w:rFonts w:ascii="Open Sans" w:hAnsi="Open Sans"/>
                <w:b w:val="0"/>
                <w:i w:val="0"/>
                <w:color w:val="59595B"/>
                <w:sz w:val="18"/>
              </w:rPr>
              <w:t>Search engine optimization and digital marketing</w:t>
            </w:r>
          </w:p>
        </w:tc>
      </w:tr>
      <w:tr>
        <w:tc>
          <w:tcPr>
            <w:tcW w:type="dxa" w:w="1728"/>
          </w:tcPr>
          <w:p>
            <w:r/>
            <w:r>
              <w:rPr>
                <w:rFonts w:ascii="Open Sans" w:hAnsi="Open Sans"/>
                <w:b w:val="0"/>
                <w:i w:val="0"/>
                <w:color w:val="59595B"/>
                <w:sz w:val="18"/>
              </w:rPr>
              <w:t>Tech Support</w:t>
            </w:r>
          </w:p>
        </w:tc>
        <w:tc>
          <w:tcPr>
            <w:tcW w:type="dxa" w:w="1296"/>
          </w:tcPr>
          <w:p>
            <w:r/>
            <w:r>
              <w:rPr>
                <w:rFonts w:ascii="Open Sans" w:hAnsi="Open Sans"/>
                <w:b w:val="0"/>
                <w:i w:val="0"/>
                <w:color w:val="59595B"/>
                <w:sz w:val="18"/>
              </w:rPr>
              <w:t>$15/hr</w:t>
            </w:r>
          </w:p>
        </w:tc>
        <w:tc>
          <w:tcPr>
            <w:tcW w:type="dxa" w:w="1440"/>
          </w:tcPr>
          <w:p>
            <w:r/>
            <w:r>
              <w:rPr>
                <w:rFonts w:ascii="Open Sans" w:hAnsi="Open Sans"/>
                <w:b w:val="0"/>
                <w:i w:val="0"/>
                <w:color w:val="59595B"/>
                <w:sz w:val="18"/>
              </w:rPr>
              <w:t>$30/hr</w:t>
            </w:r>
          </w:p>
        </w:tc>
        <w:tc>
          <w:tcPr>
            <w:tcW w:type="dxa" w:w="1440"/>
          </w:tcPr>
          <w:p>
            <w:r/>
            <w:r>
              <w:rPr>
                <w:rFonts w:ascii="Open Sans" w:hAnsi="Open Sans"/>
                <w:b w:val="0"/>
                <w:i w:val="0"/>
                <w:color w:val="59595B"/>
                <w:sz w:val="18"/>
              </w:rPr>
              <w:t>$10/hr</w:t>
            </w:r>
          </w:p>
        </w:tc>
        <w:tc>
          <w:tcPr>
            <w:tcW w:type="dxa" w:w="2880"/>
          </w:tcPr>
          <w:p>
            <w:r/>
            <w:r>
              <w:rPr>
                <w:rFonts w:ascii="Open Sans" w:hAnsi="Open Sans"/>
                <w:b w:val="0"/>
                <w:i w:val="0"/>
                <w:color w:val="59595B"/>
                <w:sz w:val="18"/>
              </w:rPr>
              <w:t>Technical support and systems administration</w:t>
            </w:r>
          </w:p>
        </w:tc>
      </w:tr>
    </w:tbl>
    <w:p>
      <w:pPr>
        <w:spacing w:after="80"/>
      </w:pPr>
    </w:p>
    <w:p>
      <w:pPr>
        <w:spacing w:after="80"/>
      </w:pPr>
      <w:r>
        <w:rPr>
          <w:rFonts w:ascii="Open Sans" w:hAnsi="Open Sans"/>
          <w:b/>
          <w:i w:val="0"/>
          <w:color w:val="006DB6"/>
          <w:sz w:val="22"/>
        </w:rPr>
        <w:t>Project &amp; Ad Hoc Rates</w:t>
      </w: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2340"/>
        <w:gridCol w:w="2340"/>
        <w:gridCol w:w="2340"/>
        <w:gridCol w:w="2340"/>
      </w:tblGrid>
      <w:tr>
        <w:tc>
          <w:tcPr>
            <w:tcW w:type="dxa" w:w="3168"/>
            <w:shd w:fill="006DB6" w:val="clear"/>
          </w:tcPr>
          <w:p>
            <w:r/>
            <w:r>
              <w:rPr>
                <w:rFonts w:ascii="Open Sans" w:hAnsi="Open Sans"/>
                <w:b/>
                <w:i w:val="0"/>
                <w:color w:val="FFFFFF"/>
                <w:sz w:val="18"/>
              </w:rPr>
              <w:t>Service</w:t>
            </w:r>
          </w:p>
        </w:tc>
        <w:tc>
          <w:tcPr>
            <w:tcW w:type="dxa" w:w="1152"/>
            <w:shd w:fill="006DB6" w:val="clear"/>
          </w:tcPr>
          <w:p>
            <w:r/>
            <w:r>
              <w:rPr>
                <w:rFonts w:ascii="Open Sans" w:hAnsi="Open Sans"/>
                <w:b/>
                <w:i w:val="0"/>
                <w:color w:val="FFFFFF"/>
                <w:sz w:val="18"/>
              </w:rPr>
              <w:t>Rate</w:t>
            </w:r>
          </w:p>
        </w:tc>
        <w:tc>
          <w:tcPr>
            <w:tcW w:type="dxa" w:w="1584"/>
            <w:shd w:fill="006DB6" w:val="clear"/>
          </w:tcPr>
          <w:p>
            <w:r/>
            <w:r>
              <w:rPr>
                <w:rFonts w:ascii="Open Sans" w:hAnsi="Open Sans"/>
                <w:b/>
                <w:i w:val="0"/>
                <w:color w:val="FFFFFF"/>
                <w:sz w:val="18"/>
              </w:rPr>
              <w:t>Minimum</w:t>
            </w:r>
          </w:p>
        </w:tc>
        <w:tc>
          <w:tcPr>
            <w:tcW w:type="dxa" w:w="2880"/>
            <w:shd w:fill="006DB6" w:val="clear"/>
          </w:tcPr>
          <w:p>
            <w:r/>
            <w:r>
              <w:rPr>
                <w:rFonts w:ascii="Open Sans" w:hAnsi="Open Sans"/>
                <w:b/>
                <w:i w:val="0"/>
                <w:color w:val="FFFFFF"/>
                <w:sz w:val="18"/>
              </w:rPr>
              <w:t>Notes</w:t>
            </w:r>
          </w:p>
        </w:tc>
      </w:tr>
      <w:tr>
        <w:tc>
          <w:tcPr>
            <w:tcW w:type="dxa" w:w="3168"/>
          </w:tcPr>
          <w:p>
            <w:r/>
            <w:r>
              <w:rPr>
                <w:rFonts w:ascii="Open Sans" w:hAnsi="Open Sans"/>
                <w:b w:val="0"/>
                <w:i w:val="0"/>
                <w:color w:val="59595B"/>
                <w:sz w:val="18"/>
              </w:rPr>
              <w:t>On-Site Support (US)</w:t>
            </w:r>
          </w:p>
        </w:tc>
        <w:tc>
          <w:tcPr>
            <w:tcW w:type="dxa" w:w="1152"/>
          </w:tcPr>
          <w:p>
            <w:r/>
            <w:r>
              <w:rPr>
                <w:rFonts w:ascii="Open Sans" w:hAnsi="Open Sans"/>
                <w:b w:val="0"/>
                <w:i w:val="0"/>
                <w:color w:val="59595B"/>
                <w:sz w:val="18"/>
              </w:rPr>
              <w:t>$150/hr</w:t>
            </w:r>
          </w:p>
        </w:tc>
        <w:tc>
          <w:tcPr>
            <w:tcW w:type="dxa" w:w="1584"/>
          </w:tcPr>
          <w:p>
            <w:r/>
            <w:r>
              <w:rPr>
                <w:rFonts w:ascii="Open Sans" w:hAnsi="Open Sans"/>
                <w:b w:val="0"/>
                <w:i w:val="0"/>
                <w:color w:val="59595B"/>
                <w:sz w:val="18"/>
              </w:rPr>
              <w:t>2-hour minimum</w:t>
            </w:r>
          </w:p>
        </w:tc>
        <w:tc>
          <w:tcPr>
            <w:tcW w:type="dxa" w:w="2880"/>
          </w:tcPr>
          <w:p>
            <w:r/>
            <w:r>
              <w:rPr>
                <w:rFonts w:ascii="Open Sans" w:hAnsi="Open Sans"/>
                <w:b w:val="0"/>
                <w:i w:val="0"/>
                <w:color w:val="59595B"/>
                <w:sz w:val="18"/>
              </w:rPr>
              <w:t>No trip charges</w:t>
            </w:r>
          </w:p>
        </w:tc>
      </w:tr>
      <w:tr>
        <w:tc>
          <w:tcPr>
            <w:tcW w:type="dxa" w:w="3168"/>
          </w:tcPr>
          <w:p>
            <w:r/>
            <w:r>
              <w:rPr>
                <w:rFonts w:ascii="Open Sans" w:hAnsi="Open Sans"/>
                <w:b w:val="0"/>
                <w:i w:val="0"/>
                <w:color w:val="59595B"/>
                <w:sz w:val="18"/>
              </w:rPr>
              <w:t>Remote Support (ad hoc, non-contracted)</w:t>
            </w:r>
          </w:p>
        </w:tc>
        <w:tc>
          <w:tcPr>
            <w:tcW w:type="dxa" w:w="1152"/>
          </w:tcPr>
          <w:p>
            <w:r/>
            <w:r>
              <w:rPr>
                <w:rFonts w:ascii="Open Sans" w:hAnsi="Open Sans"/>
                <w:b w:val="0"/>
                <w:i w:val="0"/>
                <w:color w:val="59595B"/>
                <w:sz w:val="18"/>
              </w:rPr>
              <w:t>$150/hr</w:t>
            </w:r>
          </w:p>
        </w:tc>
        <w:tc>
          <w:tcPr>
            <w:tcW w:type="dxa" w:w="1584"/>
          </w:tcPr>
          <w:p>
            <w:r/>
            <w:r>
              <w:rPr>
                <w:rFonts w:ascii="Open Sans" w:hAnsi="Open Sans"/>
                <w:b w:val="0"/>
                <w:i w:val="0"/>
                <w:color w:val="59595B"/>
                <w:sz w:val="18"/>
              </w:rPr>
              <w:t>15-min increments</w:t>
            </w:r>
          </w:p>
        </w:tc>
        <w:tc>
          <w:tcPr>
            <w:tcW w:type="dxa" w:w="2880"/>
          </w:tcPr>
          <w:p>
            <w:r/>
            <w:r>
              <w:rPr>
                <w:rFonts w:ascii="Open Sans" w:hAnsi="Open Sans"/>
                <w:b w:val="0"/>
                <w:i w:val="0"/>
                <w:color w:val="59595B"/>
                <w:sz w:val="18"/>
              </w:rPr>
              <w:t>Billed in 15-minute increments</w:t>
            </w:r>
          </w:p>
        </w:tc>
      </w:tr>
      <w:tr>
        <w:tc>
          <w:tcPr>
            <w:tcW w:type="dxa" w:w="3168"/>
          </w:tcPr>
          <w:p>
            <w:r/>
            <w:r>
              <w:rPr>
                <w:rFonts w:ascii="Open Sans" w:hAnsi="Open Sans"/>
                <w:b w:val="0"/>
                <w:i w:val="0"/>
                <w:color w:val="59595B"/>
                <w:sz w:val="18"/>
              </w:rPr>
              <w:t>Emergency / Critical Response</w:t>
            </w:r>
          </w:p>
        </w:tc>
        <w:tc>
          <w:tcPr>
            <w:tcW w:type="dxa" w:w="1152"/>
          </w:tcPr>
          <w:p>
            <w:r/>
            <w:r>
              <w:rPr>
                <w:rFonts w:ascii="Open Sans" w:hAnsi="Open Sans"/>
                <w:b w:val="0"/>
                <w:i w:val="0"/>
                <w:color w:val="59595B"/>
                <w:sz w:val="18"/>
              </w:rPr>
              <w:t>$250/hr</w:t>
            </w:r>
          </w:p>
        </w:tc>
        <w:tc>
          <w:tcPr>
            <w:tcW w:type="dxa" w:w="1584"/>
          </w:tcPr>
          <w:p>
            <w:r/>
            <w:r>
              <w:rPr>
                <w:rFonts w:ascii="Open Sans" w:hAnsi="Open Sans"/>
                <w:b w:val="0"/>
                <w:i w:val="0"/>
                <w:color w:val="59595B"/>
                <w:sz w:val="18"/>
              </w:rPr>
              <w:t>1-hour minimum</w:t>
            </w:r>
          </w:p>
        </w:tc>
        <w:tc>
          <w:tcPr>
            <w:tcW w:type="dxa" w:w="2880"/>
          </w:tcPr>
          <w:p>
            <w:r/>
            <w:r>
              <w:rPr>
                <w:rFonts w:ascii="Open Sans" w:hAnsi="Open Sans"/>
                <w:b w:val="0"/>
                <w:i w:val="0"/>
                <w:color w:val="59595B"/>
                <w:sz w:val="18"/>
              </w:rPr>
              <w:t>After-hours and critical incidents</w:t>
            </w:r>
          </w:p>
        </w:tc>
      </w:tr>
      <w:tr>
        <w:tc>
          <w:tcPr>
            <w:tcW w:type="dxa" w:w="3168"/>
          </w:tcPr>
          <w:p>
            <w:r/>
            <w:r>
              <w:rPr>
                <w:rFonts w:ascii="Open Sans" w:hAnsi="Open Sans"/>
                <w:b w:val="0"/>
                <w:i w:val="0"/>
                <w:color w:val="59595B"/>
                <w:sz w:val="18"/>
              </w:rPr>
              <w:t>Project Management</w:t>
            </w:r>
          </w:p>
        </w:tc>
        <w:tc>
          <w:tcPr>
            <w:tcW w:type="dxa" w:w="1152"/>
          </w:tcPr>
          <w:p>
            <w:r/>
            <w:r>
              <w:rPr>
                <w:rFonts w:ascii="Open Sans" w:hAnsi="Open Sans"/>
                <w:b w:val="0"/>
                <w:i w:val="0"/>
                <w:color w:val="59595B"/>
                <w:sz w:val="18"/>
              </w:rPr>
              <w:t>$150/hr</w:t>
            </w:r>
          </w:p>
        </w:tc>
        <w:tc>
          <w:tcPr>
            <w:tcW w:type="dxa" w:w="1584"/>
          </w:tcPr>
          <w:p>
            <w:r/>
            <w:r>
              <w:rPr>
                <w:rFonts w:ascii="Open Sans" w:hAnsi="Open Sans"/>
                <w:b w:val="0"/>
                <w:i w:val="0"/>
                <w:color w:val="59595B"/>
                <w:sz w:val="18"/>
              </w:rPr>
              <w:t>N/A</w:t>
            </w:r>
          </w:p>
        </w:tc>
        <w:tc>
          <w:tcPr>
            <w:tcW w:type="dxa" w:w="2880"/>
          </w:tcPr>
          <w:p>
            <w:r/>
            <w:r>
              <w:rPr>
                <w:rFonts w:ascii="Open Sans" w:hAnsi="Open Sans"/>
                <w:b w:val="0"/>
                <w:i w:val="0"/>
                <w:color w:val="59595B"/>
                <w:sz w:val="18"/>
              </w:rPr>
              <w:t>For SOW-based engagements</w:t>
            </w:r>
          </w:p>
        </w:tc>
      </w:tr>
    </w:tbl>
    <w:p>
      <w:pPr>
        <w:spacing w:after="40"/>
      </w:pPr>
    </w:p>
    <w:p>
      <w:r>
        <w:rPr>
          <w:rFonts w:ascii="Open Sans" w:hAnsi="Open Sans"/>
          <w:b/>
          <w:i w:val="0"/>
          <w:color w:val="1A1A2E"/>
          <w:sz w:val="18"/>
        </w:rPr>
        <w:t xml:space="preserve">Normal Business Hours: </w:t>
      </w:r>
      <w:r>
        <w:rPr>
          <w:rFonts w:ascii="Open Sans" w:hAnsi="Open Sans"/>
          <w:b w:val="0"/>
          <w:i w:val="0"/>
          <w:color w:val="59595B"/>
          <w:sz w:val="18"/>
        </w:rPr>
        <w:t>Monday through Friday, 8:00 AM to 6:00 PM Pacific Time, excluding US federal holidays.</w:t>
      </w:r>
    </w:p>
    <w:p>
      <w:r>
        <w:rPr>
          <w:rFonts w:ascii="Open Sans" w:hAnsi="Open Sans"/>
          <w:b/>
          <w:i w:val="0"/>
          <w:color w:val="1A1A2E"/>
          <w:sz w:val="18"/>
        </w:rPr>
        <w:t xml:space="preserve">After-Hours: </w:t>
      </w:r>
      <w:r>
        <w:rPr>
          <w:rFonts w:ascii="Open Sans" w:hAnsi="Open Sans"/>
          <w:b w:val="0"/>
          <w:i w:val="0"/>
          <w:color w:val="59595B"/>
          <w:sz w:val="18"/>
        </w:rPr>
        <w:t>All hours outside of Normal Business Hours, including weekends and US federal holidays.</w:t>
      </w:r>
    </w:p>
    <w:p>
      <w:r>
        <w:rPr>
          <w:rFonts w:ascii="Open Sans" w:hAnsi="Open Sans"/>
          <w:b/>
          <w:i w:val="0"/>
          <w:color w:val="1A1A2E"/>
          <w:sz w:val="18"/>
        </w:rPr>
        <w:t xml:space="preserve">Contracted Rate: </w:t>
      </w:r>
      <w:r>
        <w:rPr>
          <w:rFonts w:ascii="Open Sans" w:hAnsi="Open Sans"/>
          <w:b w:val="0"/>
          <w:i w:val="0"/>
          <w:color w:val="59595B"/>
          <w:sz w:val="18"/>
        </w:rPr>
        <w:t>Discounted hourly rate applied when Client commits to a Cycle under the Cycle-Based Billing Model (Schedule A, Part 3).</w:t>
      </w:r>
    </w:p>
    <w:p>
      <w:pPr>
        <w:spacing w:after="80"/>
      </w:pPr>
    </w:p>
    <w:p>
      <w:pPr>
        <w:spacing w:before="200" w:after="120"/>
        <w:pBdr>
          <w:bottom w:val="single" w:sz="8" w:space="2" w:color="006DB6"/>
        </w:pBdr>
      </w:pPr>
      <w:r>
        <w:rPr>
          <w:rFonts w:ascii="Open Sans" w:hAnsi="Open Sans"/>
          <w:b/>
          <w:i w:val="0"/>
          <w:color w:val="006DB6"/>
          <w:sz w:val="28"/>
        </w:rPr>
        <w:t>Service Level Commitments</w:t>
      </w:r>
    </w:p>
    <w:p>
      <w:pPr>
        <w:spacing w:after="40"/>
      </w:pPr>
    </w:p>
    <w:tbl>
      <w:tblPr>
        <w:tblW w:type="auto" w:w="0"/>
        <w:jc w:val="center"/>
        <w:tblLook w:firstColumn="1" w:firstRow="1" w:lastColumn="0" w:lastRow="0" w:noHBand="0" w:noVBand="1" w:val="04A0"/>
        <w:tblBorders>
          <w:top w:val="single" w:sz="4" w:space="0" w:color="E9ECEF"/>
          <w:left w:val="single" w:sz="4" w:space="0" w:color="E9ECEF"/>
          <w:bottom w:val="single" w:sz="4" w:space="0" w:color="E9ECEF"/>
          <w:right w:val="single" w:sz="4" w:space="0" w:color="E9ECEF"/>
          <w:insideH w:val="single" w:sz="4" w:space="0" w:color="E9ECEF"/>
          <w:insideV w:val="single" w:sz="4" w:space="0" w:color="E9ECEF"/>
        </w:tblBorders>
      </w:tblPr>
      <w:tblGrid>
        <w:gridCol w:w="4680"/>
        <w:gridCol w:w="4680"/>
      </w:tblGrid>
      <w:tr>
        <w:tc>
          <w:tcPr>
            <w:tcW w:type="dxa" w:w="3168"/>
            <w:shd w:fill="006DB6" w:val="clear"/>
          </w:tcPr>
          <w:p>
            <w:r/>
            <w:r>
              <w:rPr>
                <w:rFonts w:ascii="Open Sans" w:hAnsi="Open Sans"/>
                <w:b/>
                <w:i w:val="0"/>
                <w:color w:val="FFFFFF"/>
                <w:sz w:val="18"/>
              </w:rPr>
              <w:t>Service Level</w:t>
            </w:r>
          </w:p>
        </w:tc>
        <w:tc>
          <w:tcPr>
            <w:tcW w:type="dxa" w:w="5472"/>
            <w:shd w:fill="006DB6" w:val="clear"/>
          </w:tcPr>
          <w:p>
            <w:r/>
            <w:r>
              <w:rPr>
                <w:rFonts w:ascii="Open Sans" w:hAnsi="Open Sans"/>
                <w:b/>
                <w:i w:val="0"/>
                <w:color w:val="FFFFFF"/>
                <w:sz w:val="18"/>
              </w:rPr>
              <w:t>Target</w:t>
            </w:r>
          </w:p>
        </w:tc>
      </w:tr>
      <w:tr>
        <w:tc>
          <w:tcPr>
            <w:tcW w:type="dxa" w:w="3168"/>
          </w:tcPr>
          <w:p>
            <w:r/>
            <w:r>
              <w:rPr>
                <w:rFonts w:ascii="Open Sans" w:hAnsi="Open Sans"/>
                <w:b w:val="0"/>
                <w:i w:val="0"/>
                <w:color w:val="59595B"/>
                <w:sz w:val="18"/>
              </w:rPr>
              <w:t>Critical Incident Response</w:t>
            </w:r>
          </w:p>
        </w:tc>
        <w:tc>
          <w:tcPr>
            <w:tcW w:type="dxa" w:w="5472"/>
          </w:tcPr>
          <w:p>
            <w:r/>
            <w:r>
              <w:rPr>
                <w:rFonts w:ascii="Open Sans" w:hAnsi="Open Sans"/>
                <w:b w:val="0"/>
                <w:i w:val="0"/>
                <w:color w:val="59595B"/>
                <w:sz w:val="18"/>
              </w:rPr>
              <w:t>Within 1 hour of notification</w:t>
            </w:r>
          </w:p>
        </w:tc>
      </w:tr>
      <w:tr>
        <w:tc>
          <w:tcPr>
            <w:tcW w:type="dxa" w:w="3168"/>
          </w:tcPr>
          <w:p>
            <w:r/>
            <w:r>
              <w:rPr>
                <w:rFonts w:ascii="Open Sans" w:hAnsi="Open Sans"/>
                <w:b w:val="0"/>
                <w:i w:val="0"/>
                <w:color w:val="59595B"/>
                <w:sz w:val="18"/>
              </w:rPr>
              <w:t>Standard Support Response</w:t>
            </w:r>
          </w:p>
        </w:tc>
        <w:tc>
          <w:tcPr>
            <w:tcW w:type="dxa" w:w="5472"/>
          </w:tcPr>
          <w:p>
            <w:r/>
            <w:r>
              <w:rPr>
                <w:rFonts w:ascii="Open Sans" w:hAnsi="Open Sans"/>
                <w:b w:val="0"/>
                <w:i w:val="0"/>
                <w:color w:val="59595B"/>
                <w:sz w:val="18"/>
              </w:rPr>
              <w:t>Within 4 business hours</w:t>
            </w:r>
          </w:p>
        </w:tc>
      </w:tr>
      <w:tr>
        <w:tc>
          <w:tcPr>
            <w:tcW w:type="dxa" w:w="3168"/>
          </w:tcPr>
          <w:p>
            <w:r/>
            <w:r>
              <w:rPr>
                <w:rFonts w:ascii="Open Sans" w:hAnsi="Open Sans"/>
                <w:b w:val="0"/>
                <w:i w:val="0"/>
                <w:color w:val="59595B"/>
                <w:sz w:val="18"/>
              </w:rPr>
              <w:t>Scheduled Maintenance</w:t>
            </w:r>
          </w:p>
        </w:tc>
        <w:tc>
          <w:tcPr>
            <w:tcW w:type="dxa" w:w="5472"/>
          </w:tcPr>
          <w:p>
            <w:r/>
            <w:r>
              <w:rPr>
                <w:rFonts w:ascii="Open Sans" w:hAnsi="Open Sans"/>
                <w:b w:val="0"/>
                <w:i w:val="0"/>
                <w:color w:val="59595B"/>
                <w:sz w:val="18"/>
              </w:rPr>
              <w:t>Tuesday evenings and Saturdays (with advance notice)</w:t>
            </w:r>
          </w:p>
        </w:tc>
      </w:tr>
      <w:tr>
        <w:tc>
          <w:tcPr>
            <w:tcW w:type="dxa" w:w="3168"/>
          </w:tcPr>
          <w:p>
            <w:r/>
            <w:r>
              <w:rPr>
                <w:rFonts w:ascii="Open Sans" w:hAnsi="Open Sans"/>
                <w:b w:val="0"/>
                <w:i w:val="0"/>
                <w:color w:val="59595B"/>
                <w:sz w:val="18"/>
              </w:rPr>
              <w:t>24/7 Monitoring</w:t>
            </w:r>
          </w:p>
        </w:tc>
        <w:tc>
          <w:tcPr>
            <w:tcW w:type="dxa" w:w="5472"/>
          </w:tcPr>
          <w:p>
            <w:r/>
            <w:r>
              <w:rPr>
                <w:rFonts w:ascii="Open Sans" w:hAnsi="Open Sans"/>
                <w:b w:val="0"/>
                <w:i w:val="0"/>
                <w:color w:val="59595B"/>
                <w:sz w:val="18"/>
              </w:rPr>
              <w:t>All desktops and email security continuously monitored</w:t>
            </w:r>
          </w:p>
        </w:tc>
      </w:tr>
      <w:tr>
        <w:tc>
          <w:tcPr>
            <w:tcW w:type="dxa" w:w="3168"/>
          </w:tcPr>
          <w:p>
            <w:r/>
            <w:r>
              <w:rPr>
                <w:rFonts w:ascii="Open Sans" w:hAnsi="Open Sans"/>
                <w:b w:val="0"/>
                <w:i w:val="0"/>
                <w:color w:val="59595B"/>
                <w:sz w:val="18"/>
              </w:rPr>
              <w:t>Monthly Reporting</w:t>
            </w:r>
          </w:p>
        </w:tc>
        <w:tc>
          <w:tcPr>
            <w:tcW w:type="dxa" w:w="5472"/>
          </w:tcPr>
          <w:p>
            <w:r/>
            <w:r>
              <w:rPr>
                <w:rFonts w:ascii="Open Sans" w:hAnsi="Open Sans"/>
                <w:b w:val="0"/>
                <w:i w:val="0"/>
                <w:color w:val="59595B"/>
                <w:sz w:val="18"/>
              </w:rPr>
              <w:t>Service reports summarizing incidents, uptime, and support activity</w:t>
            </w:r>
          </w:p>
        </w:tc>
      </w:tr>
      <w:tr>
        <w:tc>
          <w:tcPr>
            <w:tcW w:type="dxa" w:w="3168"/>
          </w:tcPr>
          <w:p>
            <w:r/>
            <w:r>
              <w:rPr>
                <w:rFonts w:ascii="Open Sans" w:hAnsi="Open Sans"/>
                <w:b w:val="0"/>
                <w:i w:val="0"/>
                <w:color w:val="59595B"/>
                <w:sz w:val="18"/>
              </w:rPr>
              <w:t>Quarterly Reviews</w:t>
            </w:r>
          </w:p>
        </w:tc>
        <w:tc>
          <w:tcPr>
            <w:tcW w:type="dxa" w:w="5472"/>
          </w:tcPr>
          <w:p>
            <w:r/>
            <w:r>
              <w:rPr>
                <w:rFonts w:ascii="Open Sans" w:hAnsi="Open Sans"/>
                <w:b w:val="0"/>
                <w:i w:val="0"/>
                <w:color w:val="59595B"/>
                <w:sz w:val="18"/>
              </w:rPr>
              <w:t>Scheduled service reviews with Culp Construction Company’s designated representative</w:t>
            </w:r>
          </w:p>
        </w:tc>
      </w:tr>
    </w:tbl>
    <w:p>
      <w:pPr>
        <w:spacing w:after="80"/>
      </w:pPr>
    </w:p>
    <w:p>
      <w:pPr>
        <w:spacing w:before="200" w:after="120"/>
        <w:pBdr>
          <w:bottom w:val="single" w:sz="8" w:space="2" w:color="006DB6"/>
        </w:pBdr>
      </w:pPr>
      <w:r>
        <w:rPr>
          <w:rFonts w:ascii="Open Sans" w:hAnsi="Open Sans"/>
          <w:b/>
          <w:i w:val="0"/>
          <w:color w:val="006DB6"/>
          <w:sz w:val="28"/>
        </w:rPr>
        <w:t>Agreement Structure</w:t>
      </w:r>
    </w:p>
    <w:p>
      <w:pPr>
        <w:pStyle w:val="ListBullet"/>
        <w:spacing w:after="40"/>
      </w:pPr>
      <w:r>
        <w:rPr>
          <w:rFonts w:ascii="Open Sans" w:hAnsi="Open Sans"/>
          <w:b/>
          <w:i w:val="0"/>
          <w:color w:val="1A1A2E"/>
          <w:sz w:val="20"/>
        </w:rPr>
        <w:t xml:space="preserve">Master Service Agreement (MSA): </w:t>
      </w:r>
      <w:r>
        <w:rPr>
          <w:rFonts w:ascii="Open Sans" w:hAnsi="Open Sans"/>
          <w:b w:val="0"/>
          <w:i w:val="0"/>
          <w:color w:val="59595B"/>
          <w:sz w:val="20"/>
        </w:rPr>
        <w:t>Governs the overall relationship, payment terms, confidentiality, liability, and dispute resolution for a 12-month initial term with automatic annual renewal.</w:t>
      </w:r>
    </w:p>
    <w:p>
      <w:pPr>
        <w:pStyle w:val="ListBullet"/>
        <w:spacing w:after="40"/>
      </w:pPr>
      <w:r>
        <w:rPr>
          <w:rFonts w:ascii="Open Sans" w:hAnsi="Open Sans"/>
          <w:b/>
          <w:i w:val="0"/>
          <w:color w:val="1A1A2E"/>
          <w:sz w:val="20"/>
        </w:rPr>
        <w:t xml:space="preserve">Schedule A — Monthly Services: </w:t>
      </w:r>
      <w:r>
        <w:rPr>
          <w:rFonts w:ascii="Open Sans" w:hAnsi="Open Sans"/>
          <w:b w:val="0"/>
          <w:i w:val="0"/>
          <w:color w:val="59595B"/>
          <w:sz w:val="20"/>
        </w:rPr>
        <w:t>Details the managed desktop security, endpoint protection, email security, and virtual staff services with SLA commitments.</w:t>
      </w:r>
    </w:p>
    <w:p>
      <w:pPr>
        <w:pStyle w:val="ListBullet"/>
        <w:spacing w:after="40"/>
      </w:pPr>
      <w:r>
        <w:rPr>
          <w:rFonts w:ascii="Open Sans" w:hAnsi="Open Sans"/>
          <w:b/>
          <w:i w:val="0"/>
          <w:color w:val="1A1A2E"/>
          <w:sz w:val="20"/>
        </w:rPr>
        <w:t xml:space="preserve">Schedule B — Subscription Services: </w:t>
      </w:r>
      <w:r>
        <w:rPr>
          <w:rFonts w:ascii="Open Sans" w:hAnsi="Open Sans"/>
          <w:b w:val="0"/>
          <w:i w:val="0"/>
          <w:color w:val="59595B"/>
          <w:sz w:val="20"/>
        </w:rPr>
        <w:t>Covers any third-party software subscriptions and licenses managed by Technijian on Culp Construction Company’s behalf.</w:t>
      </w:r>
    </w:p>
    <w:p>
      <w:pPr>
        <w:pStyle w:val="ListBullet"/>
        <w:spacing w:after="40"/>
      </w:pPr>
      <w:r>
        <w:rPr>
          <w:rFonts w:ascii="Open Sans" w:hAnsi="Open Sans"/>
          <w:b/>
          <w:i w:val="0"/>
          <w:color w:val="1A1A2E"/>
          <w:sz w:val="20"/>
        </w:rPr>
        <w:t xml:space="preserve">Schedule C — Rate Card: </w:t>
      </w:r>
      <w:r>
        <w:rPr>
          <w:rFonts w:ascii="Open Sans" w:hAnsi="Open Sans"/>
          <w:b w:val="0"/>
          <w:i w:val="0"/>
          <w:color w:val="59595B"/>
          <w:sz w:val="20"/>
        </w:rPr>
        <w:t>Establishes hourly rates for all labor, including virtual staff, on-site support, emergency response, and ad hoc services.</w:t>
      </w:r>
    </w:p>
    <w:p>
      <w:pPr>
        <w:spacing w:after="80"/>
      </w:pPr>
    </w:p>
    <w:p>
      <w:pPr>
        <w:spacing w:before="200" w:after="120"/>
        <w:pBdr>
          <w:bottom w:val="single" w:sz="8" w:space="2" w:color="006DB6"/>
        </w:pBdr>
      </w:pPr>
      <w:r>
        <w:rPr>
          <w:rFonts w:ascii="Open Sans" w:hAnsi="Open Sans"/>
          <w:b/>
          <w:i w:val="0"/>
          <w:color w:val="006DB6"/>
          <w:sz w:val="28"/>
        </w:rPr>
        <w:t>Next Steps</w:t>
      </w:r>
    </w:p>
    <w:p>
      <w:pPr>
        <w:spacing w:after="40"/>
      </w:pPr>
      <w:r>
        <w:rPr>
          <w:rFonts w:ascii="Open Sans" w:hAnsi="Open Sans"/>
          <w:b/>
          <w:i w:val="0"/>
          <w:color w:val="006DB6"/>
          <w:sz w:val="20"/>
        </w:rPr>
        <w:t xml:space="preserve">1. </w:t>
      </w:r>
      <w:r>
        <w:rPr>
          <w:rFonts w:ascii="Open Sans" w:hAnsi="Open Sans"/>
          <w:b w:val="0"/>
          <w:i w:val="0"/>
          <w:color w:val="59595B"/>
          <w:sz w:val="20"/>
        </w:rPr>
        <w:t>Review this summary and the attached agreements</w:t>
      </w:r>
    </w:p>
    <w:p>
      <w:pPr>
        <w:spacing w:after="40"/>
      </w:pPr>
      <w:r>
        <w:rPr>
          <w:rFonts w:ascii="Open Sans" w:hAnsi="Open Sans"/>
          <w:b/>
          <w:i w:val="0"/>
          <w:color w:val="006DB6"/>
          <w:sz w:val="20"/>
        </w:rPr>
        <w:t xml:space="preserve">2. </w:t>
      </w:r>
      <w:r>
        <w:rPr>
          <w:rFonts w:ascii="Open Sans" w:hAnsi="Open Sans"/>
          <w:b w:val="0"/>
          <w:i w:val="0"/>
          <w:color w:val="59595B"/>
          <w:sz w:val="20"/>
        </w:rPr>
        <w:t>Confirm any questions with your Technijian account representative</w:t>
      </w:r>
    </w:p>
    <w:p>
      <w:pPr>
        <w:spacing w:after="40"/>
      </w:pPr>
      <w:r>
        <w:rPr>
          <w:rFonts w:ascii="Open Sans" w:hAnsi="Open Sans"/>
          <w:b/>
          <w:i w:val="0"/>
          <w:color w:val="006DB6"/>
          <w:sz w:val="20"/>
        </w:rPr>
        <w:t xml:space="preserve">3. </w:t>
      </w:r>
      <w:r>
        <w:rPr>
          <w:rFonts w:ascii="Open Sans" w:hAnsi="Open Sans"/>
          <w:b w:val="0"/>
          <w:i w:val="0"/>
          <w:color w:val="59595B"/>
          <w:sz w:val="20"/>
        </w:rPr>
        <w:t>Sign the MSA, Schedule A, Schedule B, Schedule C</w:t>
      </w:r>
    </w:p>
    <w:p>
      <w:pPr>
        <w:spacing w:after="40"/>
      </w:pPr>
      <w:r>
        <w:rPr>
          <w:rFonts w:ascii="Open Sans" w:hAnsi="Open Sans"/>
          <w:b/>
          <w:i w:val="0"/>
          <w:color w:val="006DB6"/>
          <w:sz w:val="20"/>
        </w:rPr>
        <w:t xml:space="preserve">4. </w:t>
      </w:r>
      <w:r>
        <w:rPr>
          <w:rFonts w:ascii="Open Sans" w:hAnsi="Open Sans"/>
          <w:b w:val="0"/>
          <w:i w:val="0"/>
          <w:color w:val="59595B"/>
          <w:sz w:val="20"/>
        </w:rPr>
        <w:t>Technijian begins onboarding and agent deployment within 5 business days of execution</w:t>
      </w:r>
    </w:p>
    <w:p>
      <w:pPr>
        <w:spacing w:after="160"/>
      </w:pPr>
    </w:p>
    <w:tbl>
      <w:tblPr>
        <w:tblW w:type="auto" w:w="0"/>
        <w:jc w:val="center"/>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360"/>
      </w:tblGrid>
      <w:tr>
        <w:tc>
          <w:tcPr>
            <w:tcW w:type="dxa" w:w="9360"/>
            <w:shd w:fill="006DB6" w:val="clear"/>
          </w:tcPr>
          <w:p>
            <w:pPr>
              <w:spacing w:before="0" w:after="0"/>
              <w:spacing w:before="0" w:after="0" w:line="40"/>
            </w:pPr>
            <w:r/>
          </w:p>
        </w:tc>
      </w:tr>
    </w:tbl>
    <w:p>
      <w:pPr>
        <w:spacing w:before="120"/>
        <w:jc w:val="center"/>
      </w:pPr>
      <w:r>
        <w:rPr>
          <w:rFonts w:ascii="Open Sans" w:hAnsi="Open Sans"/>
          <w:b w:val="0"/>
          <w:i w:val="0"/>
          <w:color w:val="59595B"/>
          <w:sz w:val="16"/>
        </w:rPr>
        <w:t>Technijian, Inc.  |  18 Technology Dr., Ste 141, Irvine, CA 92618  |  949.379.8499  |  technijian.com</w:t>
      </w:r>
    </w:p>
    <w:p>
      <w:pPr>
        <w:jc w:val="center"/>
      </w:pPr>
      <w:r>
        <w:rPr>
          <w:rFonts w:ascii="Open Sans" w:hAnsi="Open Sans"/>
          <w:b w:val="0"/>
          <w:i/>
          <w:color w:val="59595B"/>
          <w:sz w:val="16"/>
        </w:rPr>
        <w:t>CONFIDENTIAL — Prepared exclusively for Culp Construction Company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