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SETTLEMENT POSITION MEMORANDUM</w:t>
      </w:r>
    </w:p>
    <w:p>
      <w:r>
        <w:rPr>
          <w:b/>
        </w:rPr>
        <w:t>From:</w:t>
      </w:r>
      <w:r>
        <w:t xml:space="preserve"> Edward Susolik, Esq., Callahan &amp; Blaine, PC — counsel for Technijian, Inc.</w:t>
      </w:r>
    </w:p>
    <w:p>
      <w:r>
        <w:rPr>
          <w:b/>
        </w:rPr>
        <w:t>To:</w:t>
      </w:r>
      <w:r>
        <w:t xml:space="preserve"> Counsel for The Boston Group, Inc. / UCC Recycling</w:t>
      </w:r>
    </w:p>
    <w:p>
      <w:r>
        <w:rPr>
          <w:b/>
        </w:rPr>
        <w:t>Re:</w:t>
      </w:r>
      <w:r>
        <w:t xml:space="preserve"> </w:t>
      </w:r>
      <w:r>
        <w:rPr>
          <w:i/>
        </w:rPr>
        <w:t>Technijian, Inc. — The Boston Group, Inc.</w:t>
      </w:r>
      <w:r>
        <w:t xml:space="preserve"> — Termination Reconciliation Under Client Monthly Service Agreement (DocuSign Envelope ID FC626837-AEED-442F-9961-A81502402FC4)</w:t>
      </w:r>
    </w:p>
    <w:p>
      <w:r>
        <w:rPr>
          <w:b/>
        </w:rPr>
        <w:t>Date:</w:t>
      </w:r>
      <w:r>
        <w:t xml:space="preserve"> 2026-04-__</w:t>
      </w:r>
    </w:p>
    <w:p>
      <w:r>
        <w:rPr>
          <w:b/>
        </w:rPr>
        <w:t>Confidentiality:</w:t>
      </w:r>
      <w:r>
        <w:t xml:space="preserve"> Settlement communication under Cal. Evid. Code § 1152 — Inadmissible in any proceeding on the merits</w:t>
      </w:r>
    </w:p>
    <w:p>
      <w:pPr>
        <w:spacing w:before="80" w:after="80"/>
      </w:pPr>
      <w:r>
        <w:rPr>
          <w:color w:val="808080"/>
        </w:rPr>
        <w:t>______________________________________________________________________</w:t>
      </w:r>
    </w:p>
    <w:p>
      <w:pPr>
        <w:pStyle w:val="Heading1"/>
      </w:pPr>
      <w:r>
        <w:t>1. Purpose</w:t>
      </w:r>
    </w:p>
    <w:p>
      <w:r>
        <w:t>This memorandum is transmitted pursuant to Jeffrey Klein's March 23, 2026 representation that "our attorney is reviewing the contract." Its purpose is to set forth (a) Technijian's position regarding the cancellation reconciliation under the signed Client Monthly Service Agreement, (b) the supporting data and methodology, and (c) the settlement concession Technijian has placed on the table and continues to hold open, subject to the terms below.</w:t>
      </w:r>
    </w:p>
    <w:p>
      <w:r>
        <w:t>Technijian remains prepared to resolve this matter cooperatively and without recourse to formal proceedings. This memorandum is offered in the spirit of prompt, good-faith resolution.</w:t>
      </w:r>
    </w:p>
    <w:p>
      <w:pPr>
        <w:pStyle w:val="Heading1"/>
      </w:pPr>
      <w:r>
        <w:t>2. Operative Facts</w:t>
      </w:r>
    </w:p>
    <w:p>
      <w:r>
        <w:t>2.1. On April 10, 2023, The Boston Group, Inc. ("BST") and Technijian, Inc. ("Technijian") executed a Client Monthly Service Agreement via DocuSign (Envelope ID FC626837-AEED-442F-9961-A81502402FC4). The Agreement became operative May 1, 2023.</w:t>
      </w:r>
    </w:p>
    <w:p>
      <w:r>
        <w:t>2.2. The Agreement was performed by Technijian without material objection for approximately thirty-six (36) months.</w:t>
      </w:r>
    </w:p>
    <w:p>
      <w:r>
        <w:t>2.3. On March 17, 2026, Jeffrey Klein (on behalf of BST) delivered written notice of termination, with BST's requested service end date of April 30, 2026.</w:t>
      </w:r>
    </w:p>
    <w:p>
      <w:r>
        <w:t>2.4. Technijian acknowledged the notice the same day and confirmed the April 30, 2026 effective date, consistent with the 30-day notice requirement of § 4.05 of the Agreement's Terms &amp; Conditions.</w:t>
      </w:r>
    </w:p>
    <w:p>
      <w:r>
        <w:t>2.5. On March 19, 2026 and again on March 23, 2026, Technijian provided BST with (a) the signed Agreement, (b) the ticketed hours spreadsheet (</w:t>
      </w:r>
      <w:r>
        <w:rPr>
          <w:rFonts w:ascii="Consolas" w:hAnsi="Consolas"/>
          <w:sz w:val="20"/>
        </w:rPr>
        <w:t>bst_actualvsbillable.xlsx</w:t>
      </w:r>
      <w:r>
        <w:t>), and (c) a calculation of the cancellation reconciliation, together with a settlement alternative.</w:t>
      </w:r>
    </w:p>
    <w:p>
      <w:r>
        <w:t xml:space="preserve">2.6. Throughout the Agreement term, BST received </w:t>
      </w:r>
      <w:r>
        <w:rPr>
          <w:b/>
        </w:rPr>
        <w:t>weekly invoices itemizing each ticket and time entry</w:t>
      </w:r>
      <w:r>
        <w:t xml:space="preserve">, with a 30-day window in which to object to any reported time. </w:t>
      </w:r>
      <w:r>
        <w:rPr>
          <w:b/>
        </w:rPr>
        <w:t>No timely objection is on record across 36 months of performance and approximately 150 weekly invoices.</w:t>
      </w:r>
    </w:p>
    <w:p>
      <w:r>
        <w:t>2.7. Effective April 30, 2026, BST has elected to transition managed IT services to a successor provider, Tech Heights (Renwick Leggett).</w:t>
      </w:r>
    </w:p>
    <w:p>
      <w:pPr>
        <w:pStyle w:val="Heading1"/>
      </w:pPr>
      <w:r>
        <w:t>3. Controlling Contract Language</w:t>
      </w:r>
    </w:p>
    <w:p>
      <w:pPr>
        <w:pStyle w:val="Heading2"/>
      </w:pPr>
      <w:r>
        <w:t>3.1. Under Contract provisions — from the signed Agreement's invoice/service schedule:</w:t>
      </w:r>
    </w:p>
    <w:p>
      <w:pPr>
        <w:ind w:left="576" w:right="576"/>
      </w:pPr>
      <w:r>
        <w:rPr>
          <w:i/>
          <w:color w:val="404040"/>
        </w:rPr>
        <w:t>*"Under contract support is defined as support that will be charged monthly based on the average number of hours used, under the following conditions:*</w:t>
      </w:r>
    </w:p>
    <w:p>
      <w:pPr>
        <w:ind w:left="576" w:right="576"/>
      </w:pPr>
      <w:r>
        <w:rPr>
          <w:i/>
          <w:color w:val="404040"/>
        </w:rPr>
        <w:t>1. *The under-contract period shall be 12 Months.*</w:t>
      </w:r>
    </w:p>
    <w:p>
      <w:pPr>
        <w:ind w:left="576" w:right="576"/>
      </w:pPr>
      <w:r>
        <w:rPr>
          <w:i/>
          <w:color w:val="404040"/>
        </w:rPr>
        <w:t>2. *A new average will be calculated after each under contract period.*</w:t>
      </w:r>
    </w:p>
    <w:p>
      <w:pPr>
        <w:ind w:left="576" w:right="576"/>
      </w:pPr>
      <w:r>
        <w:rPr>
          <w:i/>
          <w:color w:val="404040"/>
        </w:rPr>
        <w:t>3. *The first month of the new average will be charged at the previous average since that invoice will be due the first of the month.*</w:t>
      </w:r>
    </w:p>
    <w:p>
      <w:pPr>
        <w:ind w:left="576" w:right="576"/>
      </w:pPr>
      <w:r>
        <w:rPr>
          <w:i/>
          <w:color w:val="404040"/>
        </w:rPr>
        <w:t>4. *If the average goes down a credit will be given on the next month's invoice. If the average goes up an extra charge will be given on the next month's invoice.*</w:t>
      </w:r>
    </w:p>
    <w:p>
      <w:pPr>
        <w:ind w:left="576" w:right="576"/>
      </w:pPr>
      <w:r>
        <w:rPr>
          <w:i/>
          <w:color w:val="404040"/>
        </w:rPr>
        <w:t>5. ****If this agreement is terminated, any hours that exceeded the previous under contract period average, that were documented through ticketing, will be charged at a rate of $150 per hour and will be assessed as the cancellation fee to the client and due before agreement is terminated.***"</w:t>
      </w:r>
    </w:p>
    <w:p>
      <w:pPr>
        <w:pStyle w:val="Heading2"/>
      </w:pPr>
      <w:r>
        <w:t>3.2. Section 4.05 — Termination by Client (Terms &amp; Conditions):</w:t>
      </w:r>
    </w:p>
    <w:p>
      <w:pPr>
        <w:ind w:left="576" w:right="576"/>
      </w:pPr>
      <w:r>
        <w:rPr>
          <w:i/>
          <w:color w:val="404040"/>
        </w:rPr>
        <w:t>*"Client shall provide thirty (30) days' written notice to Technijian if Client desires to terminate the Services with Technijian during the term of this Agreement. Client shall be liable to pay Technijian for all services and labor costs owed to Technijian up to and including the thirty (30) days' notice period. ... Upon any termination of this Agreement, Client shall be liable to pay Technijian for all services and labor costs owed to Technijian up to and including any outstanding invoices as of the date notice of termination is provided. Technijian shall determine the remaining costs for annual licenses and services and Client shall be liable to pay Technijian for these costs."*</w:t>
      </w:r>
    </w:p>
    <w:p>
      <w:pPr>
        <w:pStyle w:val="Heading2"/>
      </w:pPr>
      <w:r>
        <w:t>3.3. Invoice-page footer:</w:t>
      </w:r>
    </w:p>
    <w:p>
      <w:pPr>
        <w:ind w:left="576" w:right="576"/>
      </w:pPr>
      <w:r>
        <w:rPr>
          <w:i/>
          <w:color w:val="404040"/>
        </w:rPr>
        <w:t>*"Hours not paid are due if support agreement is cancelled per monthly service agreement."*</w:t>
      </w:r>
    </w:p>
    <w:p>
      <w:pPr>
        <w:pStyle w:val="Heading1"/>
      </w:pPr>
      <w:r>
        <w:t>4. Reconciliation and Calculation</w:t>
      </w:r>
    </w:p>
    <w:p>
      <w:pPr>
        <w:pStyle w:val="Heading2"/>
      </w:pPr>
      <w:r>
        <w:t>4.1. POD scope — three under-contract roles for BST: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POD</w:t>
            </w:r>
          </w:p>
        </w:tc>
        <w:tc>
          <w:tcPr>
            <w:tcW w:type="dxa" w:w="2880"/>
          </w:tcPr>
          <w:p>
            <w:r>
              <w:rPr>
                <w:b/>
              </w:rPr>
            </w:r>
            <w:r>
              <w:rPr>
                <w:b/>
              </w:rPr>
              <w:t>Role</w:t>
            </w:r>
          </w:p>
        </w:tc>
        <w:tc>
          <w:tcPr>
            <w:tcW w:type="dxa" w:w="2880"/>
          </w:tcPr>
          <w:p>
            <w:r>
              <w:rPr>
                <w:b/>
              </w:rPr>
            </w:r>
            <w:r>
              <w:rPr>
                <w:b/>
              </w:rPr>
              <w:t>Spreadsheet Key</w:t>
            </w:r>
          </w:p>
        </w:tc>
      </w:tr>
      <w:tr>
        <w:tc>
          <w:tcPr>
            <w:tcW w:type="dxa" w:w="2880"/>
          </w:tcPr>
          <w:p>
            <w:r/>
            <w:r>
              <w:t>CHD-TS1</w:t>
            </w:r>
          </w:p>
        </w:tc>
        <w:tc>
          <w:tcPr>
            <w:tcW w:type="dxa" w:w="2880"/>
          </w:tcPr>
          <w:p>
            <w:r/>
            <w:r>
              <w:t>OS Support (Normal, Offshore)</w:t>
            </w:r>
          </w:p>
        </w:tc>
        <w:tc>
          <w:tcPr>
            <w:tcW w:type="dxa" w:w="2880"/>
          </w:tcPr>
          <w:p>
            <w:r/>
            <w:r>
              <w:rPr>
                <w:rFonts w:ascii="Consolas" w:hAnsi="Consolas"/>
                <w:sz w:val="20"/>
              </w:rPr>
              <w:t>OFFSHORESUPPORT.N</w:t>
            </w:r>
          </w:p>
        </w:tc>
      </w:tr>
      <w:tr>
        <w:tc>
          <w:tcPr>
            <w:tcW w:type="dxa" w:w="2880"/>
          </w:tcPr>
          <w:p>
            <w:r/>
            <w:r>
              <w:t>CHD-TS1</w:t>
            </w:r>
          </w:p>
        </w:tc>
        <w:tc>
          <w:tcPr>
            <w:tcW w:type="dxa" w:w="2880"/>
          </w:tcPr>
          <w:p>
            <w:r/>
            <w:r>
              <w:t>OS Support (After-Hours, Offshore)</w:t>
            </w:r>
          </w:p>
        </w:tc>
        <w:tc>
          <w:tcPr>
            <w:tcW w:type="dxa" w:w="2880"/>
          </w:tcPr>
          <w:p>
            <w:r/>
            <w:r>
              <w:rPr>
                <w:rFonts w:ascii="Consolas" w:hAnsi="Consolas"/>
                <w:sz w:val="20"/>
              </w:rPr>
              <w:t>OFFSHORESUPPORT.AF</w:t>
            </w:r>
          </w:p>
        </w:tc>
      </w:tr>
      <w:tr>
        <w:tc>
          <w:tcPr>
            <w:tcW w:type="dxa" w:w="2880"/>
          </w:tcPr>
          <w:p>
            <w:r/>
            <w:r>
              <w:t>IRV-TS1</w:t>
            </w:r>
          </w:p>
        </w:tc>
        <w:tc>
          <w:tcPr>
            <w:tcW w:type="dxa" w:w="2880"/>
          </w:tcPr>
          <w:p>
            <w:r/>
            <w:r>
              <w:t>Tech Support (Normal, Onshore Remote)</w:t>
            </w:r>
          </w:p>
        </w:tc>
        <w:tc>
          <w:tcPr>
            <w:tcW w:type="dxa" w:w="2880"/>
          </w:tcPr>
          <w:p>
            <w:r/>
            <w:r>
              <w:rPr>
                <w:rFonts w:ascii="Consolas" w:hAnsi="Consolas"/>
                <w:sz w:val="20"/>
              </w:rPr>
              <w:t>Tech Support.N</w:t>
            </w:r>
          </w:p>
        </w:tc>
      </w:tr>
    </w:tbl>
    <w:p>
      <w:pPr>
        <w:pStyle w:val="Heading2"/>
      </w:pPr>
      <w:r>
        <w:t>4.2. Baseline-reset mechanic across three 12-month cycles: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Cycle 1 Baseline (5/23 – 4/24)</w:t>
            </w:r>
          </w:p>
        </w:tc>
        <w:tc>
          <w:tcPr>
            <w:tcW w:type="dxa" w:w="2160"/>
          </w:tcPr>
          <w:p>
            <w:r>
              <w:rPr>
                <w:b/>
              </w:rPr>
            </w:r>
            <w:r>
              <w:rPr>
                <w:b/>
              </w:rPr>
              <w:t>Cycle 2 Baseline (5/24 – 4/25)</w:t>
            </w:r>
          </w:p>
        </w:tc>
        <w:tc>
          <w:tcPr>
            <w:tcW w:type="dxa" w:w="2160"/>
          </w:tcPr>
          <w:p>
            <w:r>
              <w:rPr>
                <w:b/>
              </w:rPr>
            </w:r>
            <w:r>
              <w:rPr>
                <w:b/>
              </w:rPr>
              <w:t>Cycle 3 Baseline (5/25 – 4/26)</w:t>
            </w:r>
          </w:p>
        </w:tc>
      </w:tr>
      <w:tr>
        <w:tc>
          <w:tcPr>
            <w:tcW w:type="dxa" w:w="2160"/>
          </w:tcPr>
          <w:p>
            <w:r/>
            <w:r>
              <w:t>CHD-TS1 Normal</w:t>
            </w:r>
          </w:p>
        </w:tc>
        <w:tc>
          <w:tcPr>
            <w:tcW w:type="dxa" w:w="2160"/>
          </w:tcPr>
          <w:p>
            <w:r/>
            <w:r>
              <w:t>9.00</w:t>
            </w:r>
          </w:p>
        </w:tc>
        <w:tc>
          <w:tcPr>
            <w:tcW w:type="dxa" w:w="2160"/>
          </w:tcPr>
          <w:p>
            <w:r/>
            <w:r>
              <w:t>29.50</w:t>
            </w:r>
          </w:p>
        </w:tc>
        <w:tc>
          <w:tcPr>
            <w:tcW w:type="dxa" w:w="2160"/>
          </w:tcPr>
          <w:p>
            <w:r/>
            <w:r>
              <w:t>56.59</w:t>
            </w:r>
          </w:p>
        </w:tc>
      </w:tr>
      <w:tr>
        <w:tc>
          <w:tcPr>
            <w:tcW w:type="dxa" w:w="2160"/>
          </w:tcPr>
          <w:p>
            <w:r/>
            <w:r>
              <w:t>CHD-TS1 After-Hours</w:t>
            </w:r>
          </w:p>
        </w:tc>
        <w:tc>
          <w:tcPr>
            <w:tcW w:type="dxa" w:w="2160"/>
          </w:tcPr>
          <w:p>
            <w:r/>
            <w:r>
              <w:t>9.00</w:t>
            </w:r>
          </w:p>
        </w:tc>
        <w:tc>
          <w:tcPr>
            <w:tcW w:type="dxa" w:w="2160"/>
          </w:tcPr>
          <w:p>
            <w:r/>
            <w:r>
              <w:t>15.83</w:t>
            </w:r>
          </w:p>
        </w:tc>
        <w:tc>
          <w:tcPr>
            <w:tcW w:type="dxa" w:w="2160"/>
          </w:tcPr>
          <w:p>
            <w:r/>
            <w:r>
              <w:t>33.70</w:t>
            </w:r>
          </w:p>
        </w:tc>
      </w:tr>
      <w:tr>
        <w:tc>
          <w:tcPr>
            <w:tcW w:type="dxa" w:w="2160"/>
          </w:tcPr>
          <w:p>
            <w:r/>
            <w:r>
              <w:t>IRV-TS1 Normal</w:t>
            </w:r>
          </w:p>
        </w:tc>
        <w:tc>
          <w:tcPr>
            <w:tcW w:type="dxa" w:w="2160"/>
          </w:tcPr>
          <w:p>
            <w:r/>
            <w:r>
              <w:t>6.50</w:t>
            </w:r>
          </w:p>
        </w:tc>
        <w:tc>
          <w:tcPr>
            <w:tcW w:type="dxa" w:w="2160"/>
          </w:tcPr>
          <w:p>
            <w:r/>
            <w:r>
              <w:t>8.31</w:t>
            </w:r>
          </w:p>
        </w:tc>
        <w:tc>
          <w:tcPr>
            <w:tcW w:type="dxa" w:w="2160"/>
          </w:tcPr>
          <w:p>
            <w:r/>
            <w:r>
              <w:t>12.56</w:t>
            </w:r>
          </w:p>
        </w:tc>
      </w:tr>
    </w:tbl>
    <w:p>
      <w:r>
        <w:t>Each cycle's baseline is the previous cycle's documented average, automatically incorporated into each month's billed hours — the contractual pricing-in mechanism of ¶ 3.</w:t>
      </w:r>
    </w:p>
    <w:p>
      <w:pPr>
        <w:pStyle w:val="Heading2"/>
      </w:pPr>
      <w:r>
        <w:t>4.3. Contract-basis calculation — methodology:</w:t>
      </w:r>
    </w:p>
    <w:p>
      <w:r>
        <w:t>For each (role, month) during the term, Technijian has applied the formula:</w:t>
      </w:r>
    </w:p>
    <w:p>
      <w:pPr>
        <w:ind w:left="576" w:right="576"/>
      </w:pPr>
      <w:r>
        <w:rPr>
          <w:i/>
          <w:color w:val="404040"/>
        </w:rPr>
        <w:t>**Overage hours = max(0, Actual Hours documented − Billed baseline hours)**</w:t>
      </w:r>
    </w:p>
    <w:p>
      <w:pPr>
        <w:ind w:left="576" w:right="576"/>
      </w:pPr>
      <w:r>
        <w:rPr>
          <w:i/>
          <w:color w:val="404040"/>
        </w:rPr>
        <w:t>**Cancellation fee per row = Overage hours × $150**</w:t>
      </w:r>
    </w:p>
    <w:p>
      <w:r>
        <w:t xml:space="preserve">Summing across all under-contract roles and months, the total documented overage at $150/hr is </w:t>
      </w:r>
      <w:r>
        <w:rPr>
          <w:b/>
        </w:rPr>
        <w:t>$139,743.00</w:t>
      </w:r>
      <w:r>
        <w:t xml:space="preserve"> (931.62 hrs × $150). Technijian's March 23, 2026 cancellation-fee invoice (#28064, "Service Cancellation") reflected a conservative reconciliation of </w:t>
      </w:r>
      <w:r>
        <w:rPr>
          <w:b/>
        </w:rPr>
        <w:t>$126,442.50</w:t>
      </w:r>
      <w:r>
        <w:t xml:space="preserve"> (842.95 hrs × $150), which remains Technijian's contract-basis position.</w:t>
      </w:r>
    </w:p>
    <w:p>
      <w:pPr>
        <w:pStyle w:val="Heading2"/>
      </w:pPr>
      <w:r>
        <w:t>4.4. Alternative methodology — life-of-contract net:</w:t>
      </w:r>
    </w:p>
    <w:p>
      <w:r>
        <w:t>In recognition that one of the three roles (IRV-TS1 Onshore Normal) ran net below baseline (−108.66 hrs) over the life of the contract, Technijian has analyzed a "net" approach permitting credits to offset charges:</w:t>
      </w:r>
    </w:p>
    <w:p>
      <w:pPr>
        <w:ind w:left="576" w:right="576"/>
      </w:pPr>
      <w:r>
        <w:rPr>
          <w:i/>
          <w:color w:val="404040"/>
        </w:rPr>
        <w:t>**Life-of-contract net hours** = (total actual across all roles) − (total billed baseline across all roles) = 134.84 hrs</w:t>
      </w:r>
    </w:p>
    <w:p>
      <w:pPr>
        <w:ind w:left="576" w:right="576"/>
      </w:pPr>
      <w:r>
        <w:rPr>
          <w:i/>
          <w:color w:val="404040"/>
        </w:rPr>
        <w:t>**At $150/hr** = **$20,226.00**</w:t>
      </w:r>
    </w:p>
    <w:p>
      <w:r>
        <w:t xml:space="preserve">This methodology is not compelled by the plain language of the Under Contract clause (which addresses only hours </w:t>
      </w:r>
      <w:r>
        <w:rPr>
          <w:i/>
        </w:rPr>
        <w:t>exceeding</w:t>
      </w:r>
      <w:r>
        <w:t xml:space="preserve"> the baseline, not a netted aggregate), but Technijian presents it as a </w:t>
      </w:r>
      <w:r>
        <w:rPr>
          <w:b/>
        </w:rPr>
        <w:t>good-faith settlement alternative</w:t>
      </w:r>
      <w:r>
        <w:t>.</w:t>
      </w:r>
    </w:p>
    <w:p>
      <w:pPr>
        <w:pStyle w:val="Heading2"/>
      </w:pPr>
      <w:r>
        <w:t>4.5. Standing settlement offer:</w:t>
      </w:r>
    </w:p>
    <w:p>
      <w:r>
        <w:t xml:space="preserve">In its March 23, 2026 email, Technijian offered to accept </w:t>
      </w:r>
      <w:r>
        <w:rPr>
          <w:b/>
        </w:rPr>
        <w:t>$15,045.00</w:t>
      </w:r>
      <w:r>
        <w:t xml:space="preserve"> (100.30 hrs × $150) as </w:t>
      </w:r>
      <w:r>
        <w:rPr>
          <w:b/>
        </w:rPr>
        <w:t>full and final satisfaction of the cancellation-fee reconciliation</w:t>
      </w:r>
      <w:r>
        <w:t>, conditioned on:</w:t>
      </w:r>
    </w:p>
    <w:p>
      <w:pPr>
        <w:pStyle w:val="ListBullet"/>
      </w:pPr>
      <w:r>
        <w:t xml:space="preserve">Written acceptance by BST no later than </w:t>
      </w:r>
      <w:r>
        <w:rPr>
          <w:b/>
        </w:rPr>
        <w:t>April 30, 2026, close of business</w:t>
      </w:r>
      <w:r>
        <w:t>;</w:t>
      </w:r>
    </w:p>
    <w:p>
      <w:pPr>
        <w:pStyle w:val="ListBullet"/>
      </w:pPr>
      <w:r>
        <w:t>Payment of the April 2026 monthly invoice (#27949) and any outstanding amounts through the service-end date;</w:t>
      </w:r>
    </w:p>
    <w:p>
      <w:pPr>
        <w:pStyle w:val="ListBullet"/>
      </w:pPr>
      <w:r>
        <w:t>Standard mutual release of the cancellation-fee claim, without prejudice to Technijian's rights against third parties.</w:t>
      </w:r>
    </w:p>
    <w:p>
      <w:r>
        <w:rPr>
          <w:b/>
        </w:rPr>
        <w:t>This offer remains open in accordance with its original terms.</w:t>
      </w:r>
      <w:r>
        <w:t xml:space="preserve"> After April 30, 2026, Technijian's position reverts to the contract-basis figure of $126,442.50 as reflected on invoice #28064.</w:t>
      </w:r>
    </w:p>
    <w:p>
      <w:pPr>
        <w:pStyle w:val="Heading1"/>
      </w:pPr>
      <w:r>
        <w:t>5. Ancillary Amounts Owed Under Section 4.05</w:t>
      </w:r>
    </w:p>
    <w:p>
      <w:r>
        <w:t>Independent of the cancellation fee, § 4.05 makes BST liable for:</w:t>
      </w:r>
    </w:p>
    <w:p>
      <w:r>
        <w:t xml:space="preserve">5.1. </w:t>
      </w:r>
      <w:r>
        <w:rPr>
          <w:b/>
        </w:rPr>
        <w:t>Any outstanding balances</w:t>
      </w:r>
      <w:r>
        <w:t xml:space="preserve"> as of the date of termination notice (March 17, 2026) — to be verified from A/R;</w:t>
      </w:r>
    </w:p>
    <w:p>
      <w:r>
        <w:t xml:space="preserve">5.2. </w:t>
      </w:r>
      <w:r>
        <w:rPr>
          <w:b/>
        </w:rPr>
        <w:t>Services and labor costs through the 30-day notice period</w:t>
      </w:r>
      <w:r>
        <w:t xml:space="preserve"> — March 2026 monthly invoice #28143 and April 2026 monthly invoice #27949;</w:t>
      </w:r>
    </w:p>
    <w:p>
      <w:r>
        <w:t xml:space="preserve">5.3. </w:t>
      </w:r>
      <w:r>
        <w:rPr>
          <w:b/>
        </w:rPr>
        <w:t>Remaining balances for annual licenses and services</w:t>
      </w:r>
      <w:r>
        <w:t xml:space="preserve"> — to be determined by Technijian per § 4.05.</w:t>
      </w:r>
    </w:p>
    <w:p>
      <w:pPr>
        <w:pStyle w:val="Heading1"/>
      </w:pPr>
      <w:r>
        <w:t>6. Course of Dealing — Dispute Window Waiver</w:t>
      </w:r>
    </w:p>
    <w:p>
      <w:r>
        <w:t xml:space="preserve">BST received weekly ticketed-time detail throughout the 36-month term. Per § 3.01 of the Terms &amp; Conditions and the invoice-page instructions, BST had a </w:t>
      </w:r>
      <w:r>
        <w:rPr>
          <w:b/>
        </w:rPr>
        <w:t>30-day window to raise any question regarding reported time</w:t>
      </w:r>
      <w:r>
        <w:t xml:space="preserve">. </w:t>
      </w:r>
      <w:r>
        <w:rPr>
          <w:b/>
        </w:rPr>
        <w:t>No timely objection is on record</w:t>
      </w:r>
      <w:r>
        <w:t xml:space="preserve">. Under California law, this course of dealing supports (a) account-stated on each successive weekly invoice, </w:t>
      </w:r>
      <w:r>
        <w:rPr>
          <w:i/>
        </w:rPr>
        <w:t>Gleason v. Klamer</w:t>
      </w:r>
      <w:r>
        <w:t xml:space="preserve"> (1980) 103 Cal.App.3d 782, 786-787, and (b) waiver of subsequent objection to the same data set, Cal. Com. Code § 1303 (course of performance). The hours upon which the cancellation-fee calculation rests are the same hours previously transmitted, uncontested.</w:t>
      </w:r>
    </w:p>
    <w:p>
      <w:pPr>
        <w:pStyle w:val="Heading1"/>
      </w:pPr>
      <w:r>
        <w:t>7. The Cancellation Clause Is Enforceable</w:t>
      </w:r>
    </w:p>
    <w:p>
      <w:r>
        <w:t xml:space="preserve">The $150/hr cancellation-fee provision is (a) a reasonable approximation of Technijian's actual excess labor cost, given its published onshore rate of $125/hr and systems-architect rate of $200/hr, and (b) directly tied to </w:t>
      </w:r>
      <w:r>
        <w:rPr>
          <w:i/>
        </w:rPr>
        <w:t>documented, actually-consumed</w:t>
      </w:r>
      <w:r>
        <w:t xml:space="preserve"> service hours. It is neither a flat termination penalty nor a disguised penalty clause. Under </w:t>
      </w:r>
      <w:r>
        <w:rPr>
          <w:i/>
        </w:rPr>
        <w:t>Ridgley v. Topa Thrift &amp; Loan Assn.</w:t>
      </w:r>
      <w:r>
        <w:t xml:space="preserve"> (1998) 17 Cal.4th 970 and Cal. Civ. Code § 1671(b), such a compensatory provision is presumptively valid; the burden is on BST to demonstrate unreasonableness as of the time of contracting. The Agreement — negotiated and DocuSigned by BST in April 2023 — contains no objection of record to the $150/hr term, which was visible on every invoice delivered for 36 months.</w:t>
      </w:r>
    </w:p>
    <w:p>
      <w:pPr>
        <w:pStyle w:val="Heading1"/>
      </w:pPr>
      <w:r>
        <w:t>8. Request</w:t>
      </w:r>
    </w:p>
    <w:p>
      <w:r>
        <w:t>Technijian respectfully requests that counsel for BST:</w:t>
      </w:r>
    </w:p>
    <w:p>
      <w:r>
        <w:t xml:space="preserve">8.1. </w:t>
      </w:r>
      <w:r>
        <w:rPr>
          <w:b/>
        </w:rPr>
        <w:t>Confirm representation</w:t>
      </w:r>
      <w:r>
        <w:t xml:space="preserve"> and identify the name, firm, and point of contact to whom future correspondence should be directed;</w:t>
      </w:r>
    </w:p>
    <w:p>
      <w:r>
        <w:t xml:space="preserve">8.2. </w:t>
      </w:r>
      <w:r>
        <w:rPr>
          <w:b/>
        </w:rPr>
        <w:t>Provide a substantive response</w:t>
      </w:r>
      <w:r>
        <w:t xml:space="preserve"> no later than </w:t>
      </w:r>
      <w:r>
        <w:rPr>
          <w:b/>
        </w:rPr>
        <w:t>April 30, 2026, close of business</w:t>
      </w:r>
      <w:r>
        <w:t>, either (a) accepting the $15,045.00 settlement offer in writing or (b) identifying any specific line items or methodological objections for Technijian's review;</w:t>
      </w:r>
    </w:p>
    <w:p>
      <w:r>
        <w:t xml:space="preserve">8.3. </w:t>
      </w:r>
      <w:r>
        <w:rPr>
          <w:b/>
        </w:rPr>
        <w:t>Confirm BST's payment intent</w:t>
      </w:r>
      <w:r>
        <w:t xml:space="preserve"> for the April 2026 monthly invoice (#27949) and any outstanding balances through April 30, 2026.</w:t>
      </w:r>
    </w:p>
    <w:p>
      <w:r>
        <w:t>In the absence of a substantive response by April 30, 2026, Technijian's standing offer of $15,045.00 will expire by its own terms, and Technijian's recoverable position will revert to the contract-basis figure of $126,442.50.</w:t>
      </w:r>
    </w:p>
    <w:p>
      <w:pPr>
        <w:pStyle w:val="Heading1"/>
      </w:pPr>
      <w:r>
        <w:t>9. Reservation of Rights</w:t>
      </w:r>
    </w:p>
    <w:p>
      <w:r>
        <w:t>Nothing in this memorandum, or in any settlement resulting from it, waives, releases, or compromises any claim Technijian may have against any third party — including without limitation Tech Heights and/or Renwick Leggett — or any claim against BST to the extent arising from any such third party's conduct, including but not limited to claims for tortious interference with contract, intentional interference with prospective economic advantage, breach of fiduciary duty, violation of 18 U.S.C. § 1030 (Computer Fraud and Abuse Act), or violation of California Penal Code § 502 (CDAFA).</w:t>
      </w:r>
    </w:p>
    <w:p>
      <w:r>
        <w:t>Technijian reserves all rights and remedies not expressly set forth herein.</w:t>
      </w:r>
    </w:p>
    <w:p>
      <w:pPr>
        <w:spacing w:before="80" w:after="80"/>
      </w:pPr>
      <w:r>
        <w:rPr>
          <w:color w:val="808080"/>
        </w:rPr>
        <w:t>______________________________________________________________________</w:t>
      </w:r>
    </w:p>
    <w:p>
      <w:r>
        <w:rPr>
          <w:b/>
        </w:rPr>
        <w:t>Edward Susolik, Esq.</w:t>
      </w:r>
    </w:p>
    <w:p>
      <w:r>
        <w:t>CALLAHAN &amp; BLAINE, PC</w:t>
      </w:r>
    </w:p>
    <w:p>
      <w:r>
        <w:t>3 Hutton Centre Drive, Ninth Floor</w:t>
      </w:r>
    </w:p>
    <w:p>
      <w:r>
        <w:t>Santa Ana, CA 92707</w:t>
      </w:r>
    </w:p>
    <w:p>
      <w:r>
        <w:t>es@callahan-law.com</w:t>
      </w:r>
    </w:p>
    <w:p>
      <w:r>
        <w:rPr>
          <w:b/>
        </w:rPr>
        <w:t>Enclosures:</w:t>
      </w:r>
    </w:p>
    <w:p>
      <w:pPr>
        <w:pStyle w:val="ListNumber"/>
      </w:pPr>
      <w:r>
        <w:t>Signed Client Monthly Service Agreement (DocuSign Envelope FC626837-AEED-442F-9961-A81502402FC4)</w:t>
      </w:r>
    </w:p>
    <w:p>
      <w:pPr>
        <w:pStyle w:val="ListNumber"/>
      </w:pPr>
      <w:r>
        <w:t xml:space="preserve">Actual-vs-Billable spreadsheet — </w:t>
      </w:r>
      <w:r>
        <w:rPr>
          <w:rFonts w:ascii="Consolas" w:hAnsi="Consolas"/>
          <w:sz w:val="20"/>
        </w:rPr>
        <w:t>bst_actualvsbillable.xlsx</w:t>
      </w:r>
    </w:p>
    <w:p>
      <w:pPr>
        <w:pStyle w:val="ListNumber"/>
      </w:pPr>
      <w:r>
        <w:t>Service Cancellation invoice #28064</w:t>
      </w:r>
    </w:p>
    <w:p>
      <w:pPr>
        <w:pStyle w:val="ListNumber"/>
      </w:pPr>
      <w:r>
        <w:t>April 2026 Monthly invoice #27949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