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Open Sans" w:cs="Open Sans" w:eastAsia="Open Sans" w:hAnsi="Open Sans"/>
          <w:color w:val="59595B"/>
          <w:sz w:val="22"/>
          <w:szCs w:val="22"/>
        </w:rPr>
        <w:t xml:space="preserve"/>
      </w:r>
    </w:p>
    <w:p>
      <w:pPr>
        <w:spacing w:after="200"/>
        <w:jc w:val="center"/>
      </w:pPr>
      <w:r>
        <w:drawing>
          <wp:inline distT="0" distB="0" distL="0" distR="0">
            <wp:extent cx="2381250" cy="600075"/>
            <wp:effectExtent t="0" r="0" b="0" l="0"/>
            <wp:docPr id="1" name="logo" descr="Technijian Inc."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600075"/>
                    </a:xfrm>
                    <a:prstGeom prst="rect">
                      <a:avLst/>
                    </a:prstGeom>
                  </pic:spPr>
                </pic:pic>
              </a:graphicData>
            </a:graphic>
          </wp:inline>
        </w:drawing>
      </w:r>
    </w:p>
    <w:p>
      <w:pPr>
        <w:spacing w:after="600"/>
      </w:pPr>
      <w:r>
        <w:rPr>
          <w:rFonts w:ascii="Open Sans" w:cs="Open Sans" w:eastAsia="Open Sans" w:hAnsi="Open Sans"/>
          <w:color w:val="59595B"/>
          <w:sz w:val="22"/>
          <w:szCs w:val="22"/>
        </w:rPr>
        <w:t xml:space="preserve"/>
      </w:r>
    </w:p>
    <w:p>
      <w:pPr>
        <w:pBdr>
          <w:bottom w:val="single" w:color="F67D4B" w:sz="2"/>
        </w:pBdr>
        <w:spacing w:after="100" w:before="100"/>
      </w:pPr>
    </w:p>
    <w:p>
      <w:pPr>
        <w:spacing w:after="200" w:before="400"/>
        <w:jc w:val="center"/>
      </w:pPr>
      <w:r>
        <w:rPr>
          <w:rFonts w:ascii="Open Sans" w:cs="Open Sans" w:eastAsia="Open Sans" w:hAnsi="Open Sans"/>
          <w:b/>
          <w:bCs/>
          <w:color w:val="1A1A2E"/>
          <w:sz w:val="48"/>
          <w:szCs w:val="48"/>
        </w:rPr>
        <w:t xml:space="preserve">Statement of Work</w:t>
      </w:r>
    </w:p>
    <w:p>
      <w:pPr>
        <w:spacing w:after="400"/>
        <w:jc w:val="center"/>
      </w:pPr>
      <w:r>
        <w:rPr>
          <w:rFonts w:ascii="Open Sans" w:cs="Open Sans" w:eastAsia="Open Sans" w:hAnsi="Open Sans"/>
          <w:color w:val="59595B"/>
          <w:sz w:val="24"/>
          <w:szCs w:val="24"/>
        </w:rPr>
        <w:t xml:space="preserve">AI / CTO Advisory — AI Lead Generation System — VisionWise Capital, LLC</w:t>
      </w:r>
    </w:p>
    <w:p>
      <w:pPr>
        <w:pBdr>
          <w:bottom w:val="single" w:color="F67D4B" w:sz="2"/>
        </w:pBdr>
        <w:spacing w:after="100" w:before="100"/>
      </w:pPr>
    </w:p>
    <w:p>
      <w:pPr>
        <w:spacing w:after="600"/>
      </w:pPr>
      <w:r>
        <w:rPr>
          <w:rFonts w:ascii="Open Sans" w:cs="Open Sans" w:eastAsia="Open Sans" w:hAnsi="Open Sans"/>
          <w:color w:val="59595B"/>
          <w:sz w:val="22"/>
          <w:szCs w:val="22"/>
        </w:rPr>
        <w:t xml:space="preserve"/>
      </w:r>
    </w:p>
    <w:p>
      <w:pPr>
        <w:spacing w:after="200"/>
        <w:jc w:val="center"/>
      </w:pPr>
      <w:r>
        <w:rPr>
          <w:rFonts w:ascii="Open Sans" w:cs="Open Sans" w:eastAsia="Open Sans" w:hAnsi="Open Sans"/>
          <w:color w:val="59595B"/>
          <w:sz w:val="22"/>
          <w:szCs w:val="22"/>
        </w:rPr>
        <w:t xml:space="preserve">April 24, 2026</w:t>
      </w:r>
    </w:p>
    <w:p>
      <w:pPr>
        <w:spacing w:after="400"/>
      </w:pPr>
      <w:r>
        <w:rPr>
          <w:rFonts w:ascii="Open Sans" w:cs="Open Sans" w:eastAsia="Open Sans" w:hAnsi="Open Sans"/>
          <w:color w:val="59595B"/>
          <w:sz w:val="22"/>
          <w:szCs w:val="22"/>
        </w:rPr>
        <w:t xml:space="preserve"/>
      </w:r>
    </w:p>
    <w:p>
      <w:pPr>
        <w:jc w:val="center"/>
      </w:pPr>
      <w:r>
        <w:rPr>
          <w:rFonts w:ascii="Open Sans" w:cs="Open Sans" w:eastAsia="Open Sans" w:hAnsi="Open Sans"/>
          <w:b/>
          <w:bCs/>
          <w:color w:val="1A1A2E"/>
          <w:sz w:val="22"/>
          <w:szCs w:val="22"/>
        </w:rPr>
        <w:t xml:space="preserve">Technijian, Inc.</w:t>
      </w:r>
    </w:p>
    <w:p>
      <w:pPr>
        <w:jc w:val="center"/>
      </w:pPr>
      <w:r>
        <w:rPr>
          <w:rFonts w:ascii="Open Sans" w:cs="Open Sans" w:eastAsia="Open Sans" w:hAnsi="Open Sans"/>
          <w:color w:val="59595B"/>
          <w:sz w:val="20"/>
          <w:szCs w:val="20"/>
        </w:rPr>
        <w:t xml:space="preserve">18 Technology Dr., Ste 141  |  Irvine, CA 92618  |  949.379.8499</w:t>
      </w:r>
    </w:p>
    <w:p>
      <w:r>
        <w:br w:type="page"/>
      </w:r>
    </w:p>
    <w:p>
      <w:pPr>
        <w:sectPr>
          <w:pgSz w:w="12240" w:h="15840" w:orient="portrait"/>
          <w:pgMar w:top="1440" w:right="1440" w:bottom="1440" w:left="1440" w:header="708" w:footer="708" w:gutter="0"/>
          <w:pgNumType/>
          <w:docGrid w:linePitch="360"/>
        </w:sectPr>
      </w:pPr>
    </w:p>
    <w:p>
      <w:pPr>
        <w:pStyle w:val="Heading1"/>
      </w:pPr>
      <w:r>
        <w:rPr>
          <w:rFonts w:ascii="Open Sans" w:cs="Open Sans" w:eastAsia="Open Sans" w:hAnsi="Open Sans"/>
          <w:color w:val="59595B"/>
          <w:sz w:val="22"/>
          <w:szCs w:val="22"/>
        </w:rPr>
        <w:t xml:space="preserve">STATEMENT OF WORK</w:t>
      </w:r>
    </w:p>
    <w:p>
      <w:r>
        <w:rPr>
          <w:rFonts w:ascii="Open Sans" w:cs="Open Sans" w:eastAsia="Open Sans" w:hAnsi="Open Sans"/>
          <w:b/>
          <w:bCs/>
          <w:color w:val="1A1A2E"/>
          <w:sz w:val="22"/>
          <w:szCs w:val="22"/>
        </w:rPr>
        <w:t xml:space="preserve">SOW Number: </w:t>
      </w:r>
      <w:r>
        <w:rPr>
          <w:rFonts w:ascii="Open Sans" w:cs="Open Sans" w:eastAsia="Open Sans" w:hAnsi="Open Sans"/>
          <w:color w:val="59595B"/>
          <w:sz w:val="22"/>
          <w:szCs w:val="22"/>
        </w:rPr>
        <w:t xml:space="preserve">SOW-VWC-001-AI-Lead-Gen</w:t>
      </w:r>
    </w:p>
    <w:p>
      <w:r>
        <w:rPr>
          <w:rFonts w:ascii="Open Sans" w:cs="Open Sans" w:eastAsia="Open Sans" w:hAnsi="Open Sans"/>
          <w:b/>
          <w:bCs/>
          <w:color w:val="1A1A2E"/>
          <w:sz w:val="22"/>
          <w:szCs w:val="22"/>
        </w:rPr>
        <w:t xml:space="preserve">Effective Date: </w:t>
      </w:r>
      <w:r>
        <w:rPr>
          <w:rFonts w:ascii="Open Sans" w:cs="Open Sans" w:eastAsia="Open Sans" w:hAnsi="Open Sans"/>
          <w:color w:val="59595B"/>
          <w:sz w:val="22"/>
          <w:szCs w:val="22"/>
        </w:rPr>
        <w:t xml:space="preserve">April 24, 2026</w:t>
      </w:r>
    </w:p>
    <w:p>
      <w:r>
        <w:rPr>
          <w:rFonts w:ascii="Open Sans" w:cs="Open Sans" w:eastAsia="Open Sans" w:hAnsi="Open Sans"/>
          <w:b/>
          <w:bCs/>
          <w:color w:val="1A1A2E"/>
          <w:sz w:val="22"/>
          <w:szCs w:val="22"/>
        </w:rPr>
        <w:t xml:space="preserve">Master Service Agreement: </w:t>
      </w:r>
      <w:r>
        <w:rPr>
          <w:rFonts w:ascii="Open Sans" w:cs="Open Sans" w:eastAsia="Open Sans" w:hAnsi="Open Sans"/>
          <w:color w:val="59595B"/>
          <w:sz w:val="22"/>
          <w:szCs w:val="22"/>
        </w:rPr>
        <w:t xml:space="preserve">None (standalone SOW — Technijian Standard Terms and Conditions apply)</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This Statement of Work (“SOW”) is entered into by and between:</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 (“Technijian”)</w:t>
      </w:r>
    </w:p>
    <w:p>
      <w:r>
        <w:rPr>
          <w:rFonts w:ascii="Open Sans" w:cs="Open Sans" w:eastAsia="Open Sans" w:hAnsi="Open Sans"/>
          <w:color w:val="59595B"/>
          <w:sz w:val="22"/>
          <w:szCs w:val="22"/>
        </w:rPr>
        <w:t xml:space="preserve">18 Technology Drive, Suite 141</w:t>
      </w:r>
    </w:p>
    <w:p>
      <w:r>
        <w:rPr>
          <w:rFonts w:ascii="Open Sans" w:cs="Open Sans" w:eastAsia="Open Sans" w:hAnsi="Open Sans"/>
          <w:color w:val="59595B"/>
          <w:sz w:val="22"/>
          <w:szCs w:val="22"/>
        </w:rPr>
        <w:t xml:space="preserve">Irvine, California 92618</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and</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VisionWise Capital, LLC (“Client” or “VWC”)</w:t>
      </w:r>
    </w:p>
    <w:p>
      <w:r>
        <w:rPr>
          <w:rFonts w:ascii="Open Sans" w:cs="Open Sans" w:eastAsia="Open Sans" w:hAnsi="Open Sans"/>
          <w:color w:val="59595B"/>
          <w:sz w:val="22"/>
          <w:szCs w:val="22"/>
        </w:rPr>
        <w:t xml:space="preserve">27525 Puerta Real, Suite 300-164</w:t>
      </w:r>
    </w:p>
    <w:p>
      <w:r>
        <w:rPr>
          <w:rFonts w:ascii="Open Sans" w:cs="Open Sans" w:eastAsia="Open Sans" w:hAnsi="Open Sans"/>
          <w:color w:val="59595B"/>
          <w:sz w:val="22"/>
          <w:szCs w:val="22"/>
        </w:rPr>
        <w:t xml:space="preserve">Mission Viejo, California 92691</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Primary Contact: </w:t>
      </w:r>
      <w:r>
        <w:rPr>
          <w:rFonts w:ascii="Open Sans" w:cs="Open Sans" w:eastAsia="Open Sans" w:hAnsi="Open Sans"/>
          <w:color w:val="59595B"/>
          <w:sz w:val="22"/>
          <w:szCs w:val="22"/>
        </w:rPr>
        <w:t xml:space="preserve">Sanford Coggins, Founder (info@visionwisecapital.com)</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1. PROJECT OVERVIEW</w:t>
      </w:r>
    </w:p>
    <w:p>
      <w:pPr>
        <w:pStyle w:val="Heading2"/>
      </w:pPr>
      <w:r>
        <w:rPr>
          <w:rFonts w:ascii="Open Sans" w:cs="Open Sans" w:eastAsia="Open Sans" w:hAnsi="Open Sans"/>
          <w:color w:val="59595B"/>
          <w:sz w:val="22"/>
          <w:szCs w:val="22"/>
        </w:rPr>
        <w:t xml:space="preserve">1.1 Project Title</w:t>
      </w:r>
    </w:p>
    <w:p>
      <w:r>
        <w:rPr>
          <w:rFonts w:ascii="Open Sans" w:cs="Open Sans" w:eastAsia="Open Sans" w:hAnsi="Open Sans"/>
          <w:color w:val="59595B"/>
          <w:sz w:val="22"/>
          <w:szCs w:val="22"/>
        </w:rPr>
        <w:t xml:space="preserve">AI / CTO Advisory — AI-Driven Lead Generation System Design and Build</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1.2 Project Description</w:t>
      </w:r>
    </w:p>
    <w:p>
      <w:r>
        <w:rPr>
          <w:rFonts w:ascii="Open Sans" w:cs="Open Sans" w:eastAsia="Open Sans" w:hAnsi="Open Sans"/>
          <w:color w:val="59595B"/>
          <w:sz w:val="22"/>
          <w:szCs w:val="22"/>
        </w:rPr>
        <w:t xml:space="preserve">VisionWise Capital, LLC (“VWC”) is a Southern California commercial real estate investment firm specializing in the acquisition, renovation, and management of multifamily properties on behalf of accredited investors, Registered Investment Advisors (RIAs), and high-net-worth individuals. VWC’s growth is directly tied to its ability to identify and engage qualified accredited investors and RIA partners.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Technijian will provide AI / CTO Advisory services to design and build an AI-powered lead generation system that automates investor prospecting, enriches and scores leads, personalizes outreach, and routes qualified prospects into VWC’s sales workflow. The engagement is billed on a time-and-materials (“T&amp;M”) basis at Technijian’s published CTO Advisory rate. As a relationship-building courtesy, the first two (2) hours of engagement are provided at no charge; all hours thereafter are billed at the rate specified in Section 5.1.</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The scope and pace of work will be directed by Client. Either Party may pause or conclude the engagement at any time with written notice, with payment due only for hours actually performed beyond the two (2) no-charge hours.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1.3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0"/>
        <w:gridCol w:w="4060"/>
        <w:gridCol w:w="1560"/>
      </w:tblGrid>
      <w:tr>
        <w:tc>
          <w:tcPr>
            <w:tcW w:type="dxa" w:w="234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 Name</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Code</w:t>
            </w:r>
          </w:p>
        </w:tc>
        <w:tc>
          <w:tcPr>
            <w:tcW w:type="dxa" w:w="40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Address</w:t>
            </w:r>
          </w:p>
        </w:tc>
        <w:tc>
          <w:tcPr>
            <w:tcW w:type="dxa" w:w="15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Billable</w:t>
            </w:r>
          </w:p>
        </w:tc>
      </w:tr>
      <w:tr>
        <w:tc>
          <w:tcPr>
            <w:tcW w:type="dxa" w:w="23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VWC - Headquarters</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VWC-HQ</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27525 Puerta Real, Ste 300-164, Mission Viejo, CA 92691</w:t>
            </w:r>
          </w:p>
        </w:tc>
        <w:tc>
          <w:tcPr>
            <w:tcW w:type="dxa" w:w="1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Yes</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All work shall be performed remotely unless both Parties agree in writing that on-site presence is required for a specific session. On-site meetings, if requested, shall be billed in accordance with Section 5.1.</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2. SCOPE OF WORK</w:t>
      </w:r>
    </w:p>
    <w:p>
      <w:pPr>
        <w:pStyle w:val="Heading2"/>
      </w:pPr>
      <w:r>
        <w:rPr>
          <w:rFonts w:ascii="Open Sans" w:cs="Open Sans" w:eastAsia="Open Sans" w:hAnsi="Open Sans"/>
          <w:color w:val="59595B"/>
          <w:sz w:val="22"/>
          <w:szCs w:val="22"/>
        </w:rPr>
        <w:t xml:space="preserve">2.1 In Scope</w:t>
      </w:r>
    </w:p>
    <w:p>
      <w:r>
        <w:rPr>
          <w:rFonts w:ascii="Open Sans" w:cs="Open Sans" w:eastAsia="Open Sans" w:hAnsi="Open Sans"/>
          <w:color w:val="59595B"/>
          <w:sz w:val="22"/>
          <w:szCs w:val="22"/>
        </w:rPr>
        <w:t xml:space="preserve">Technijian will provide the following AI / CTO Advisory services on a T&amp;M basis:</w:t>
      </w:r>
    </w:p>
    <w:p>
      <w:pPr>
        <w:spacing w:after="120"/>
      </w:pPr>
      <w:r>
        <w:rPr>
          <w:rFonts w:ascii="Open Sans" w:cs="Open Sans" w:eastAsia="Open Sans" w:hAnsi="Open Sans"/>
          <w:color w:val="59595B"/>
          <w:sz w:val="22"/>
          <w:szCs w:val="22"/>
        </w:rPr>
        <w:t xml:space="preserve"/>
      </w:r>
    </w:p>
    <w:p>
      <w:pPr>
        <w:pStyle w:val="ListParagraph"/>
        <w:numPr>
          <w:ilvl w:val="0"/>
          <w:numId w:val="2"/>
        </w:numPr>
      </w:pPr>
      <w:r>
        <w:rPr>
          <w:rFonts w:ascii="Open Sans" w:cs="Open Sans" w:eastAsia="Open Sans" w:hAnsi="Open Sans"/>
          <w:color w:val="59595B"/>
          <w:sz w:val="22"/>
          <w:szCs w:val="22"/>
        </w:rPr>
        <w:t xml:space="preserve">Discovery and Strategy — Working sessions with VWC leadership to define target personas (accredited investors, RIAs, family offices), total addressable market, channel mix, success metrics, and compliance guardrails for investor outreach (SEC Rule 506(b)/506(c), CAN-SPAM, TCPA, state solicitation rules).</w:t>
      </w:r>
    </w:p>
    <w:p>
      <w:pPr>
        <w:pStyle w:val="ListParagraph"/>
        <w:numPr>
          <w:ilvl w:val="0"/>
          <w:numId w:val="2"/>
        </w:numPr>
      </w:pPr>
      <w:r>
        <w:rPr>
          <w:rFonts w:ascii="Open Sans" w:cs="Open Sans" w:eastAsia="Open Sans" w:hAnsi="Open Sans"/>
          <w:color w:val="59595B"/>
          <w:sz w:val="22"/>
          <w:szCs w:val="22"/>
        </w:rPr>
        <w:t xml:space="preserve">Architecture and Tool Selection — Design of the AI lead generation stack, including LLM selection, data sources, enrichment providers (e.g., Clay, Apollo, ZoomInfo, LinkedIn), CRM integration (HubSpot, Salesforce, Pipedrive, or equivalent), and orchestration tooling (n8n, Make, Zapier, or custom).</w:t>
      </w:r>
    </w:p>
    <w:p>
      <w:pPr>
        <w:pStyle w:val="ListParagraph"/>
        <w:numPr>
          <w:ilvl w:val="0"/>
          <w:numId w:val="2"/>
        </w:numPr>
      </w:pPr>
      <w:r>
        <w:rPr>
          <w:rFonts w:ascii="Open Sans" w:cs="Open Sans" w:eastAsia="Open Sans" w:hAnsi="Open Sans"/>
          <w:color w:val="59595B"/>
          <w:sz w:val="22"/>
          <w:szCs w:val="22"/>
        </w:rPr>
        <w:t xml:space="preserve">Data Pipeline and Enrichment — Build or configure ingestion and enrichment pipelines that pull prospective investor and RIA data, normalize records, and attach firmographic / demographic / wealth-screening attributes.</w:t>
      </w:r>
    </w:p>
    <w:p>
      <w:pPr>
        <w:pStyle w:val="ListParagraph"/>
        <w:numPr>
          <w:ilvl w:val="0"/>
          <w:numId w:val="2"/>
        </w:numPr>
      </w:pPr>
      <w:r>
        <w:rPr>
          <w:rFonts w:ascii="Open Sans" w:cs="Open Sans" w:eastAsia="Open Sans" w:hAnsi="Open Sans"/>
          <w:color w:val="59595B"/>
          <w:sz w:val="22"/>
          <w:szCs w:val="22"/>
        </w:rPr>
        <w:t xml:space="preserve">AI Scoring and Qualification — Implement an LLM-assisted lead scoring model that ranks prospects by fit and likelihood to engage, including reasoning summaries a human reviewer can audit.</w:t>
      </w:r>
    </w:p>
    <w:p>
      <w:pPr>
        <w:pStyle w:val="ListParagraph"/>
        <w:numPr>
          <w:ilvl w:val="0"/>
          <w:numId w:val="2"/>
        </w:numPr>
      </w:pPr>
      <w:r>
        <w:rPr>
          <w:rFonts w:ascii="Open Sans" w:cs="Open Sans" w:eastAsia="Open Sans" w:hAnsi="Open Sans"/>
          <w:color w:val="59595B"/>
          <w:sz w:val="22"/>
          <w:szCs w:val="22"/>
        </w:rPr>
        <w:t xml:space="preserve">Personalized Outreach — Build AI-generated, persona-aware email and LinkedIn outreach sequences with human-in-the-loop approval. Includes sender warm-up guidance, deliverability checks (SPF/DKIM/DMARC), and suppression list management.</w:t>
      </w:r>
    </w:p>
    <w:p>
      <w:pPr>
        <w:pStyle w:val="ListParagraph"/>
        <w:numPr>
          <w:ilvl w:val="0"/>
          <w:numId w:val="2"/>
        </w:numPr>
      </w:pPr>
      <w:r>
        <w:rPr>
          <w:rFonts w:ascii="Open Sans" w:cs="Open Sans" w:eastAsia="Open Sans" w:hAnsi="Open Sans"/>
          <w:color w:val="59595B"/>
          <w:sz w:val="22"/>
          <w:szCs w:val="22"/>
        </w:rPr>
        <w:t xml:space="preserve">CRM and Workflow Integration — Push qualified, scored leads into VWC’s CRM with full provenance, scoring rationale, and next-best-action recommendations.</w:t>
      </w:r>
    </w:p>
    <w:p>
      <w:pPr>
        <w:pStyle w:val="ListParagraph"/>
        <w:numPr>
          <w:ilvl w:val="0"/>
          <w:numId w:val="2"/>
        </w:numPr>
      </w:pPr>
      <w:r>
        <w:rPr>
          <w:rFonts w:ascii="Open Sans" w:cs="Open Sans" w:eastAsia="Open Sans" w:hAnsi="Open Sans"/>
          <w:color w:val="59595B"/>
          <w:sz w:val="22"/>
          <w:szCs w:val="22"/>
        </w:rPr>
        <w:t xml:space="preserve">Dashboards and Reporting — KPI dashboard (pipeline velocity, reply rate, meetings booked, SQL-to-investor conversion) for leadership visibility.</w:t>
      </w:r>
    </w:p>
    <w:p>
      <w:pPr>
        <w:pStyle w:val="ListParagraph"/>
        <w:numPr>
          <w:ilvl w:val="0"/>
          <w:numId w:val="2"/>
        </w:numPr>
      </w:pPr>
      <w:r>
        <w:rPr>
          <w:rFonts w:ascii="Open Sans" w:cs="Open Sans" w:eastAsia="Open Sans" w:hAnsi="Open Sans"/>
          <w:color w:val="59595B"/>
          <w:sz w:val="22"/>
          <w:szCs w:val="22"/>
        </w:rPr>
        <w:t xml:space="preserve">Knowledge Transfer — Documentation, runbooks, and training sessions so VWC staff can operate and evolve the system independently after go-live.</w:t>
      </w:r>
    </w:p>
    <w:p>
      <w:pPr>
        <w:pStyle w:val="ListParagraph"/>
        <w:numPr>
          <w:ilvl w:val="0"/>
          <w:numId w:val="2"/>
        </w:numPr>
      </w:pPr>
      <w:r>
        <w:rPr>
          <w:rFonts w:ascii="Open Sans" w:cs="Open Sans" w:eastAsia="Open Sans" w:hAnsi="Open Sans"/>
          <w:color w:val="59595B"/>
          <w:sz w:val="22"/>
          <w:szCs w:val="22"/>
        </w:rPr>
        <w:t xml:space="preserve">Ongoing CTO Advisory (optional) — On request, Technijian will continue to provide fractional CTO / AI advisory support on a T&amp;M basis after initial build-out.</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2.2 Out of Scope</w:t>
      </w:r>
    </w:p>
    <w:p>
      <w:r>
        <w:rPr>
          <w:rFonts w:ascii="Open Sans" w:cs="Open Sans" w:eastAsia="Open Sans" w:hAnsi="Open Sans"/>
          <w:color w:val="59595B"/>
          <w:sz w:val="22"/>
          <w:szCs w:val="22"/>
        </w:rPr>
        <w:t xml:space="preserve">The following items are expressly excluded from this SOW unless added by written Change Order:</w:t>
      </w:r>
    </w:p>
    <w:p>
      <w:pPr>
        <w:spacing w:after="120"/>
      </w:pPr>
      <w:r>
        <w:rPr>
          <w:rFonts w:ascii="Open Sans" w:cs="Open Sans" w:eastAsia="Open Sans" w:hAnsi="Open Sans"/>
          <w:color w:val="59595B"/>
          <w:sz w:val="22"/>
          <w:szCs w:val="22"/>
        </w:rPr>
        <w:t xml:space="preserve"/>
      </w:r>
    </w:p>
    <w:p>
      <w:pPr>
        <w:pStyle w:val="ListParagraph"/>
        <w:numPr>
          <w:ilvl w:val="0"/>
          <w:numId w:val="3"/>
        </w:numPr>
      </w:pPr>
      <w:r>
        <w:rPr>
          <w:rFonts w:ascii="Open Sans" w:cs="Open Sans" w:eastAsia="Open Sans" w:hAnsi="Open Sans"/>
          <w:color w:val="59595B"/>
          <w:sz w:val="22"/>
          <w:szCs w:val="22"/>
        </w:rPr>
        <w:t xml:space="preserve">Investment decisions, solicitation of investors, or any activity requiring a securities license.</w:t>
      </w:r>
    </w:p>
    <w:p>
      <w:pPr>
        <w:pStyle w:val="ListParagraph"/>
        <w:numPr>
          <w:ilvl w:val="0"/>
          <w:numId w:val="3"/>
        </w:numPr>
      </w:pPr>
      <w:r>
        <w:rPr>
          <w:rFonts w:ascii="Open Sans" w:cs="Open Sans" w:eastAsia="Open Sans" w:hAnsi="Open Sans"/>
          <w:color w:val="59595B"/>
          <w:sz w:val="22"/>
          <w:szCs w:val="22"/>
        </w:rPr>
        <w:t xml:space="preserve">Compliance opinions or legal counsel regarding SEC, FINRA, or state securities laws. Technijian will flag obvious compliance considerations, but Client is responsible for engaging qualified securities counsel.</w:t>
      </w:r>
    </w:p>
    <w:p>
      <w:pPr>
        <w:pStyle w:val="ListParagraph"/>
        <w:numPr>
          <w:ilvl w:val="0"/>
          <w:numId w:val="3"/>
        </w:numPr>
      </w:pPr>
      <w:r>
        <w:rPr>
          <w:rFonts w:ascii="Open Sans" w:cs="Open Sans" w:eastAsia="Open Sans" w:hAnsi="Open Sans"/>
          <w:color w:val="59595B"/>
          <w:sz w:val="22"/>
          <w:szCs w:val="22"/>
        </w:rPr>
        <w:t xml:space="preserve">Content creation beyond templates and examples (e.g., full marketing campaigns, whitepapers, thought-leadership content).</w:t>
      </w:r>
    </w:p>
    <w:p>
      <w:pPr>
        <w:pStyle w:val="ListParagraph"/>
        <w:numPr>
          <w:ilvl w:val="0"/>
          <w:numId w:val="3"/>
        </w:numPr>
      </w:pPr>
      <w:r>
        <w:rPr>
          <w:rFonts w:ascii="Open Sans" w:cs="Open Sans" w:eastAsia="Open Sans" w:hAnsi="Open Sans"/>
          <w:color w:val="59595B"/>
          <w:sz w:val="22"/>
          <w:szCs w:val="22"/>
        </w:rPr>
        <w:t xml:space="preserve">Purchase of third-party software licenses, enrichment data, LLM API usage, or CRM seats. These are procured by and billed directly to Client unless Client expressly authorizes Technijian to procure on its behalf.</w:t>
      </w:r>
    </w:p>
    <w:p>
      <w:pPr>
        <w:pStyle w:val="ListParagraph"/>
        <w:numPr>
          <w:ilvl w:val="0"/>
          <w:numId w:val="3"/>
        </w:numPr>
      </w:pPr>
      <w:r>
        <w:rPr>
          <w:rFonts w:ascii="Open Sans" w:cs="Open Sans" w:eastAsia="Open Sans" w:hAnsi="Open Sans"/>
          <w:color w:val="59595B"/>
          <w:sz w:val="22"/>
          <w:szCs w:val="22"/>
        </w:rPr>
        <w:t xml:space="preserve">Sending outreach at scale without Client review and authorization for each campaign.</w:t>
      </w:r>
    </w:p>
    <w:p>
      <w:pPr>
        <w:pStyle w:val="ListParagraph"/>
        <w:numPr>
          <w:ilvl w:val="0"/>
          <w:numId w:val="3"/>
        </w:numPr>
      </w:pPr>
      <w:r>
        <w:rPr>
          <w:rFonts w:ascii="Open Sans" w:cs="Open Sans" w:eastAsia="Open Sans" w:hAnsi="Open Sans"/>
          <w:color w:val="59595B"/>
          <w:sz w:val="22"/>
          <w:szCs w:val="22"/>
        </w:rPr>
        <w:t xml:space="preserve">Web development, branding, or graphic design services.</w:t>
      </w:r>
    </w:p>
    <w:p>
      <w:pPr>
        <w:pStyle w:val="ListParagraph"/>
        <w:numPr>
          <w:ilvl w:val="0"/>
          <w:numId w:val="3"/>
        </w:numPr>
      </w:pPr>
      <w:r>
        <w:rPr>
          <w:rFonts w:ascii="Open Sans" w:cs="Open Sans" w:eastAsia="Open Sans" w:hAnsi="Open Sans"/>
          <w:color w:val="59595B"/>
          <w:sz w:val="22"/>
          <w:szCs w:val="22"/>
        </w:rPr>
        <w:t xml:space="preserve">Any work requiring access to Client’s investor records, subscription documents, or other regulated non-public personal information (“NPI”) except as strictly necessary for this engagement and governed by a separate data processing / NDA agreement.</w:t>
      </w:r>
    </w:p>
    <w:p>
      <w:pPr>
        <w:pStyle w:val="ListParagraph"/>
        <w:numPr>
          <w:ilvl w:val="0"/>
          <w:numId w:val="3"/>
        </w:numPr>
      </w:pPr>
      <w:r>
        <w:rPr>
          <w:rFonts w:ascii="Open Sans" w:cs="Open Sans" w:eastAsia="Open Sans" w:hAnsi="Open Sans"/>
          <w:color w:val="59595B"/>
          <w:sz w:val="22"/>
          <w:szCs w:val="22"/>
        </w:rPr>
        <w:t xml:space="preserve">24x7 system monitoring, production incident response, or managed services (available under a separate Technijian MSA / Managed Services SOW).</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2.3 Assumptions</w:t>
      </w:r>
    </w:p>
    <w:p>
      <w:pPr>
        <w:pStyle w:val="ListParagraph"/>
        <w:numPr>
          <w:ilvl w:val="0"/>
          <w:numId w:val="4"/>
        </w:numPr>
      </w:pPr>
      <w:r>
        <w:rPr>
          <w:rFonts w:ascii="Open Sans" w:cs="Open Sans" w:eastAsia="Open Sans" w:hAnsi="Open Sans"/>
          <w:color w:val="59595B"/>
          <w:sz w:val="22"/>
          <w:szCs w:val="22"/>
        </w:rPr>
        <w:t xml:space="preserve">The engagement begins with the two (2) no-charge hours, which will be used for an initial discovery session. No obligation on either Party is created until Client authorizes billable hours in writing (email is sufficient).</w:t>
      </w:r>
    </w:p>
    <w:p>
      <w:pPr>
        <w:pStyle w:val="ListParagraph"/>
        <w:numPr>
          <w:ilvl w:val="0"/>
          <w:numId w:val="4"/>
        </w:numPr>
      </w:pPr>
      <w:r>
        <w:rPr>
          <w:rFonts w:ascii="Open Sans" w:cs="Open Sans" w:eastAsia="Open Sans" w:hAnsi="Open Sans"/>
          <w:color w:val="59595B"/>
          <w:sz w:val="22"/>
          <w:szCs w:val="22"/>
        </w:rPr>
        <w:t xml:space="preserve">Client will designate a single empowered point of contact (default: Sanford Coggins) with authority to approve scope, spend, vendor selection, and go-live of outreach campaigns.</w:t>
      </w:r>
    </w:p>
    <w:p>
      <w:pPr>
        <w:pStyle w:val="ListParagraph"/>
        <w:numPr>
          <w:ilvl w:val="0"/>
          <w:numId w:val="4"/>
        </w:numPr>
      </w:pPr>
      <w:r>
        <w:rPr>
          <w:rFonts w:ascii="Open Sans" w:cs="Open Sans" w:eastAsia="Open Sans" w:hAnsi="Open Sans"/>
          <w:color w:val="59595B"/>
          <w:sz w:val="22"/>
          <w:szCs w:val="22"/>
        </w:rPr>
        <w:t xml:space="preserve">Client will procure and pay for all third-party services directly (LLM APIs, enrichment providers, CRM, email sending infrastructure). Technijian will recommend; Client will purchase.</w:t>
      </w:r>
    </w:p>
    <w:p>
      <w:pPr>
        <w:pStyle w:val="ListParagraph"/>
        <w:numPr>
          <w:ilvl w:val="0"/>
          <w:numId w:val="4"/>
        </w:numPr>
      </w:pPr>
      <w:r>
        <w:rPr>
          <w:rFonts w:ascii="Open Sans" w:cs="Open Sans" w:eastAsia="Open Sans" w:hAnsi="Open Sans"/>
          <w:color w:val="59595B"/>
          <w:sz w:val="22"/>
          <w:szCs w:val="22"/>
        </w:rPr>
        <w:t xml:space="preserve">Any outreach generated by the system will be reviewed and approved by Client before being sent. Client is solely responsible for the legality and content of all outbound communications to prospects.</w:t>
      </w:r>
    </w:p>
    <w:p>
      <w:pPr>
        <w:pStyle w:val="ListParagraph"/>
        <w:numPr>
          <w:ilvl w:val="0"/>
          <w:numId w:val="4"/>
        </w:numPr>
      </w:pPr>
      <w:r>
        <w:rPr>
          <w:rFonts w:ascii="Open Sans" w:cs="Open Sans" w:eastAsia="Open Sans" w:hAnsi="Open Sans"/>
          <w:color w:val="59595B"/>
          <w:sz w:val="22"/>
          <w:szCs w:val="22"/>
        </w:rPr>
        <w:t xml:space="preserve">Technijian’s work product is delivered “as-is” and without warranty beyond what is stated in Section 9 and the Technijian Standard Terms and Conditions.</w:t>
      </w:r>
    </w:p>
    <w:p>
      <w:pPr>
        <w:pStyle w:val="ListParagraph"/>
        <w:numPr>
          <w:ilvl w:val="0"/>
          <w:numId w:val="4"/>
        </w:numPr>
      </w:pPr>
      <w:r>
        <w:rPr>
          <w:rFonts w:ascii="Open Sans" w:cs="Open Sans" w:eastAsia="Open Sans" w:hAnsi="Open Sans"/>
          <w:color w:val="59595B"/>
          <w:sz w:val="22"/>
          <w:szCs w:val="22"/>
        </w:rPr>
        <w:t xml:space="preserve">Time will be tracked and reported in 15-minute increments.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3. PROJECT PHASES</w:t>
      </w:r>
    </w:p>
    <w:p>
      <w:r>
        <w:rPr>
          <w:rFonts w:ascii="Open Sans" w:cs="Open Sans" w:eastAsia="Open Sans" w:hAnsi="Open Sans"/>
          <w:color w:val="59595B"/>
          <w:sz w:val="22"/>
          <w:szCs w:val="22"/>
        </w:rPr>
        <w:t xml:space="preserve">The engagement is organized into five (5) phases. Because this is a T&amp;M engagement directed by Client, hour estimates below are planning estimates only; Technijian will bill for actual time at the rate in Section 5.1 and will notify Client before exceeding any estimate by more than 10%.</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1: Discovery &amp; Strategy (No-Charge + T&amp;M)</w:t>
      </w:r>
    </w:p>
    <w:p>
      <w:pPr>
        <w:pStyle w:val="Heading3"/>
      </w:pPr>
      <w:r>
        <w:rPr>
          <w:rFonts w:ascii="Open Sans" w:cs="Open Sans" w:eastAsia="Open Sans" w:hAnsi="Open Sans"/>
          <w:color w:val="59595B"/>
          <w:sz w:val="22"/>
          <w:szCs w:val="22"/>
        </w:rPr>
        <w:t xml:space="preserve">3.1.1 Description</w:t>
      </w:r>
    </w:p>
    <w:p>
      <w:r>
        <w:rPr>
          <w:rFonts w:ascii="Open Sans" w:cs="Open Sans" w:eastAsia="Open Sans" w:hAnsi="Open Sans"/>
          <w:color w:val="59595B"/>
          <w:sz w:val="22"/>
          <w:szCs w:val="22"/>
        </w:rPr>
        <w:t xml:space="preserve">Initial working sessions with Client leadership to understand VWC’s investor profile, current sales motion, growth targets, compliance posture, existing tools, and budget constraints. The first two (2) hours of this phase are provided at no charge. If Client elects to continue, subsequent hours are billed at the rate in Section 5.1.</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3.1.2 Deliverables</w:t>
      </w:r>
    </w:p>
    <w:p>
      <w:pPr>
        <w:pStyle w:val="ListParagraph"/>
        <w:numPr>
          <w:ilvl w:val="0"/>
          <w:numId w:val="5"/>
        </w:numPr>
      </w:pPr>
      <w:r>
        <w:rPr>
          <w:rFonts w:ascii="Open Sans" w:cs="Open Sans" w:eastAsia="Open Sans" w:hAnsi="Open Sans"/>
          <w:color w:val="59595B"/>
          <w:sz w:val="22"/>
          <w:szCs w:val="22"/>
        </w:rPr>
        <w:t xml:space="preserve">Discovery notes and a one-page AI Lead Gen strategy brief.</w:t>
      </w:r>
    </w:p>
    <w:p>
      <w:pPr>
        <w:pStyle w:val="ListParagraph"/>
        <w:numPr>
          <w:ilvl w:val="0"/>
          <w:numId w:val="5"/>
        </w:numPr>
      </w:pPr>
      <w:r>
        <w:rPr>
          <w:rFonts w:ascii="Open Sans" w:cs="Open Sans" w:eastAsia="Open Sans" w:hAnsi="Open Sans"/>
          <w:color w:val="59595B"/>
          <w:sz w:val="22"/>
          <w:szCs w:val="22"/>
        </w:rPr>
        <w:t xml:space="preserve">Target persona definitions (accredited investor, RIA partner, family office).</w:t>
      </w:r>
    </w:p>
    <w:p>
      <w:pPr>
        <w:pStyle w:val="ListParagraph"/>
        <w:numPr>
          <w:ilvl w:val="0"/>
          <w:numId w:val="5"/>
        </w:numPr>
      </w:pPr>
      <w:r>
        <w:rPr>
          <w:rFonts w:ascii="Open Sans" w:cs="Open Sans" w:eastAsia="Open Sans" w:hAnsi="Open Sans"/>
          <w:color w:val="59595B"/>
          <w:sz w:val="22"/>
          <w:szCs w:val="22"/>
        </w:rPr>
        <w:t xml:space="preserve">Recommended channel mix and success metrics.</w:t>
      </w:r>
    </w:p>
    <w:p>
      <w:pPr>
        <w:pStyle w:val="ListParagraph"/>
        <w:numPr>
          <w:ilvl w:val="0"/>
          <w:numId w:val="5"/>
        </w:numPr>
      </w:pPr>
      <w:r>
        <w:rPr>
          <w:rFonts w:ascii="Open Sans" w:cs="Open Sans" w:eastAsia="Open Sans" w:hAnsi="Open Sans"/>
          <w:color w:val="59595B"/>
          <w:sz w:val="22"/>
          <w:szCs w:val="22"/>
        </w:rPr>
        <w:t xml:space="preserve">Preliminary tool short-list and rough cost-of-ownership estimate.</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3.1.3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200"/>
        <w:gridCol w:w="1400"/>
        <w:gridCol w:w="12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2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Initial discovery session (no-charge)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w:t>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Strategy brief and persona definitions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1-2</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2: Architecture &amp; Tool Selection (T&amp;M)</w:t>
      </w:r>
    </w:p>
    <w:p>
      <w:pPr>
        <w:pStyle w:val="Heading3"/>
      </w:pPr>
      <w:r>
        <w:rPr>
          <w:rFonts w:ascii="Open Sans" w:cs="Open Sans" w:eastAsia="Open Sans" w:hAnsi="Open Sans"/>
          <w:color w:val="59595B"/>
          <w:sz w:val="22"/>
          <w:szCs w:val="22"/>
        </w:rPr>
        <w:t xml:space="preserve">3.2.1 Description</w:t>
      </w:r>
    </w:p>
    <w:p>
      <w:r>
        <w:rPr>
          <w:rFonts w:ascii="Open Sans" w:cs="Open Sans" w:eastAsia="Open Sans" w:hAnsi="Open Sans"/>
          <w:color w:val="59595B"/>
          <w:sz w:val="22"/>
          <w:szCs w:val="22"/>
        </w:rPr>
        <w:t xml:space="preserve">Design the end-to-end AI lead generation architecture and recommend a specific vendor stack. Client retains final approval authority on all third-party purchases.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3.2.2 Deliverables</w:t>
      </w:r>
    </w:p>
    <w:p>
      <w:pPr>
        <w:pStyle w:val="ListParagraph"/>
        <w:numPr>
          <w:ilvl w:val="0"/>
          <w:numId w:val="6"/>
        </w:numPr>
      </w:pPr>
      <w:r>
        <w:rPr>
          <w:rFonts w:ascii="Open Sans" w:cs="Open Sans" w:eastAsia="Open Sans" w:hAnsi="Open Sans"/>
          <w:color w:val="59595B"/>
          <w:sz w:val="22"/>
          <w:szCs w:val="22"/>
        </w:rPr>
        <w:t xml:space="preserve">Architecture diagram (data sources → enrichment → scoring → outreach → CRM → reporting).</w:t>
      </w:r>
    </w:p>
    <w:p>
      <w:pPr>
        <w:pStyle w:val="ListParagraph"/>
        <w:numPr>
          <w:ilvl w:val="0"/>
          <w:numId w:val="6"/>
        </w:numPr>
      </w:pPr>
      <w:r>
        <w:rPr>
          <w:rFonts w:ascii="Open Sans" w:cs="Open Sans" w:eastAsia="Open Sans" w:hAnsi="Open Sans"/>
          <w:color w:val="59595B"/>
          <w:sz w:val="22"/>
          <w:szCs w:val="22"/>
        </w:rPr>
        <w:t xml:space="preserve">Vendor recommendation memo with cost, pros/cons, and compliance notes.</w:t>
      </w:r>
    </w:p>
    <w:p>
      <w:pPr>
        <w:pStyle w:val="ListParagraph"/>
        <w:numPr>
          <w:ilvl w:val="0"/>
          <w:numId w:val="6"/>
        </w:numPr>
      </w:pPr>
      <w:r>
        <w:rPr>
          <w:rFonts w:ascii="Open Sans" w:cs="Open Sans" w:eastAsia="Open Sans" w:hAnsi="Open Sans"/>
          <w:color w:val="59595B"/>
          <w:sz w:val="22"/>
          <w:szCs w:val="22"/>
        </w:rPr>
        <w:t xml:space="preserve">Prioritized build backlog.</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3.2.3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200"/>
        <w:gridCol w:w="1400"/>
        <w:gridCol w:w="12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2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Architecture design and vendor short-list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2-3</w:t>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Client review and backlog prioritization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6.0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3: Build &amp; Integration (T&amp;M)</w:t>
      </w:r>
    </w:p>
    <w:p>
      <w:pPr>
        <w:pStyle w:val="Heading3"/>
      </w:pPr>
      <w:r>
        <w:rPr>
          <w:rFonts w:ascii="Open Sans" w:cs="Open Sans" w:eastAsia="Open Sans" w:hAnsi="Open Sans"/>
          <w:color w:val="59595B"/>
          <w:sz w:val="22"/>
          <w:szCs w:val="22"/>
        </w:rPr>
        <w:t xml:space="preserve">3.3.1 Description</w:t>
      </w:r>
    </w:p>
    <w:p>
      <w:r>
        <w:rPr>
          <w:rFonts w:ascii="Open Sans" w:cs="Open Sans" w:eastAsia="Open Sans" w:hAnsi="Open Sans"/>
          <w:color w:val="59595B"/>
          <w:sz w:val="22"/>
          <w:szCs w:val="22"/>
        </w:rPr>
        <w:t xml:space="preserve">Stand up the data ingestion, enrichment, AI scoring, and outreach components and wire them into Client’s CRM. Work is delivered iteratively with weekly demos.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3.3.2 Deliverables</w:t>
      </w:r>
    </w:p>
    <w:p>
      <w:pPr>
        <w:pStyle w:val="ListParagraph"/>
        <w:numPr>
          <w:ilvl w:val="0"/>
          <w:numId w:val="2"/>
        </w:numPr>
      </w:pPr>
      <w:r>
        <w:rPr>
          <w:rFonts w:ascii="Open Sans" w:cs="Open Sans" w:eastAsia="Open Sans" w:hAnsi="Open Sans"/>
          <w:color w:val="59595B"/>
          <w:sz w:val="22"/>
          <w:szCs w:val="22"/>
        </w:rPr>
        <w:t xml:space="preserve">Data ingestion and enrichment pipeline configured against selected sources.</w:t>
      </w:r>
    </w:p>
    <w:p>
      <w:pPr>
        <w:pStyle w:val="ListParagraph"/>
        <w:numPr>
          <w:ilvl w:val="0"/>
          <w:numId w:val="2"/>
        </w:numPr>
      </w:pPr>
      <w:r>
        <w:rPr>
          <w:rFonts w:ascii="Open Sans" w:cs="Open Sans" w:eastAsia="Open Sans" w:hAnsi="Open Sans"/>
          <w:color w:val="59595B"/>
          <w:sz w:val="22"/>
          <w:szCs w:val="22"/>
        </w:rPr>
        <w:t xml:space="preserve">LLM-based lead scoring model with audit-ready rationale output.</w:t>
      </w:r>
    </w:p>
    <w:p>
      <w:pPr>
        <w:pStyle w:val="ListParagraph"/>
        <w:numPr>
          <w:ilvl w:val="0"/>
          <w:numId w:val="2"/>
        </w:numPr>
      </w:pPr>
      <w:r>
        <w:rPr>
          <w:rFonts w:ascii="Open Sans" w:cs="Open Sans" w:eastAsia="Open Sans" w:hAnsi="Open Sans"/>
          <w:color w:val="59595B"/>
          <w:sz w:val="22"/>
          <w:szCs w:val="22"/>
        </w:rPr>
        <w:t xml:space="preserve">AI-generated outreach sequences with human-in-the-loop review UI.</w:t>
      </w:r>
    </w:p>
    <w:p>
      <w:pPr>
        <w:pStyle w:val="ListParagraph"/>
        <w:numPr>
          <w:ilvl w:val="0"/>
          <w:numId w:val="2"/>
        </w:numPr>
      </w:pPr>
      <w:r>
        <w:rPr>
          <w:rFonts w:ascii="Open Sans" w:cs="Open Sans" w:eastAsia="Open Sans" w:hAnsi="Open Sans"/>
          <w:color w:val="59595B"/>
          <w:sz w:val="22"/>
          <w:szCs w:val="22"/>
        </w:rPr>
        <w:t xml:space="preserve">CRM integration (bi-directional) with scored lead records.</w:t>
      </w:r>
    </w:p>
    <w:p>
      <w:pPr>
        <w:pStyle w:val="ListParagraph"/>
        <w:numPr>
          <w:ilvl w:val="0"/>
          <w:numId w:val="2"/>
        </w:numPr>
      </w:pPr>
      <w:r>
        <w:rPr>
          <w:rFonts w:ascii="Open Sans" w:cs="Open Sans" w:eastAsia="Open Sans" w:hAnsi="Open Sans"/>
          <w:color w:val="59595B"/>
          <w:sz w:val="22"/>
          <w:szCs w:val="22"/>
        </w:rPr>
        <w:t xml:space="preserve">KPI dashboard.</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3.3.3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200"/>
        <w:gridCol w:w="1400"/>
        <w:gridCol w:w="12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2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Pipeline, enrichment, and scoring build</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3-5</w:t>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Outreach automation and CRM integration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8.0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5-7</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KPI dashboard build</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7</w:t>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21.0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4: Pilot, Tuning &amp; Go-Live (T&amp;M)</w:t>
      </w:r>
    </w:p>
    <w:p>
      <w:pPr>
        <w:pStyle w:val="Heading3"/>
      </w:pPr>
      <w:r>
        <w:rPr>
          <w:rFonts w:ascii="Open Sans" w:cs="Open Sans" w:eastAsia="Open Sans" w:hAnsi="Open Sans"/>
          <w:color w:val="59595B"/>
          <w:sz w:val="22"/>
          <w:szCs w:val="22"/>
        </w:rPr>
        <w:t xml:space="preserve">3.4.1 Description</w:t>
      </w:r>
    </w:p>
    <w:p>
      <w:r>
        <w:rPr>
          <w:rFonts w:ascii="Open Sans" w:cs="Open Sans" w:eastAsia="Open Sans" w:hAnsi="Open Sans"/>
          <w:color w:val="59595B"/>
          <w:sz w:val="22"/>
          <w:szCs w:val="22"/>
        </w:rPr>
        <w:t xml:space="preserve">Run a controlled pilot against a small approved prospect list, tune scoring thresholds and outreach copy based on results, then authorize broader rollout.</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3.4.2 Deliverables</w:t>
      </w:r>
    </w:p>
    <w:p>
      <w:pPr>
        <w:pStyle w:val="ListParagraph"/>
        <w:numPr>
          <w:ilvl w:val="0"/>
          <w:numId w:val="3"/>
        </w:numPr>
      </w:pPr>
      <w:r>
        <w:rPr>
          <w:rFonts w:ascii="Open Sans" w:cs="Open Sans" w:eastAsia="Open Sans" w:hAnsi="Open Sans"/>
          <w:color w:val="59595B"/>
          <w:sz w:val="22"/>
          <w:szCs w:val="22"/>
        </w:rPr>
        <w:t xml:space="preserve">Pilot results report (reply rate, meetings booked, false-positive rate).</w:t>
      </w:r>
    </w:p>
    <w:p>
      <w:pPr>
        <w:pStyle w:val="ListParagraph"/>
        <w:numPr>
          <w:ilvl w:val="0"/>
          <w:numId w:val="3"/>
        </w:numPr>
      </w:pPr>
      <w:r>
        <w:rPr>
          <w:rFonts w:ascii="Open Sans" w:cs="Open Sans" w:eastAsia="Open Sans" w:hAnsi="Open Sans"/>
          <w:color w:val="59595B"/>
          <w:sz w:val="22"/>
          <w:szCs w:val="22"/>
        </w:rPr>
        <w:t xml:space="preserve">Tuned scoring thresholds and outreach templates.</w:t>
      </w:r>
    </w:p>
    <w:p>
      <w:pPr>
        <w:pStyle w:val="ListParagraph"/>
        <w:numPr>
          <w:ilvl w:val="0"/>
          <w:numId w:val="3"/>
        </w:numPr>
      </w:pPr>
      <w:r>
        <w:rPr>
          <w:rFonts w:ascii="Open Sans" w:cs="Open Sans" w:eastAsia="Open Sans" w:hAnsi="Open Sans"/>
          <w:color w:val="59595B"/>
          <w:sz w:val="22"/>
          <w:szCs w:val="22"/>
        </w:rPr>
        <w:t xml:space="preserve">Go-live checklist and rollout plan.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3.4.3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200"/>
        <w:gridCol w:w="1400"/>
        <w:gridCol w:w="12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2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Pilot run and analysis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8</w:t>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Tuning and go-live enablement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9</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7.0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Phase 5: Knowledge Transfer (T&amp;M)</w:t>
      </w:r>
    </w:p>
    <w:p>
      <w:pPr>
        <w:pStyle w:val="Heading3"/>
      </w:pPr>
      <w:r>
        <w:rPr>
          <w:rFonts w:ascii="Open Sans" w:cs="Open Sans" w:eastAsia="Open Sans" w:hAnsi="Open Sans"/>
          <w:color w:val="59595B"/>
          <w:sz w:val="22"/>
          <w:szCs w:val="22"/>
        </w:rPr>
        <w:t xml:space="preserve">3.5.1 Description</w:t>
      </w:r>
    </w:p>
    <w:p>
      <w:r>
        <w:rPr>
          <w:rFonts w:ascii="Open Sans" w:cs="Open Sans" w:eastAsia="Open Sans" w:hAnsi="Open Sans"/>
          <w:color w:val="59595B"/>
          <w:sz w:val="22"/>
          <w:szCs w:val="22"/>
        </w:rPr>
        <w:t xml:space="preserve">Document the system and train Client’s designated operators so VWC can run and evolve the system without Technijian.</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3.5.2 Deliverables</w:t>
      </w:r>
    </w:p>
    <w:p>
      <w:pPr>
        <w:pStyle w:val="ListParagraph"/>
        <w:numPr>
          <w:ilvl w:val="0"/>
          <w:numId w:val="4"/>
        </w:numPr>
      </w:pPr>
      <w:r>
        <w:rPr>
          <w:rFonts w:ascii="Open Sans" w:cs="Open Sans" w:eastAsia="Open Sans" w:hAnsi="Open Sans"/>
          <w:color w:val="59595B"/>
          <w:sz w:val="22"/>
          <w:szCs w:val="22"/>
        </w:rPr>
        <w:t xml:space="preserve">Operator runbook.</w:t>
      </w:r>
    </w:p>
    <w:p>
      <w:pPr>
        <w:pStyle w:val="ListParagraph"/>
        <w:numPr>
          <w:ilvl w:val="0"/>
          <w:numId w:val="4"/>
        </w:numPr>
      </w:pPr>
      <w:r>
        <w:rPr>
          <w:rFonts w:ascii="Open Sans" w:cs="Open Sans" w:eastAsia="Open Sans" w:hAnsi="Open Sans"/>
          <w:color w:val="59595B"/>
          <w:sz w:val="22"/>
          <w:szCs w:val="22"/>
        </w:rPr>
        <w:t xml:space="preserve">Architecture reference document.</w:t>
      </w:r>
    </w:p>
    <w:p>
      <w:pPr>
        <w:pStyle w:val="ListParagraph"/>
        <w:numPr>
          <w:ilvl w:val="0"/>
          <w:numId w:val="4"/>
        </w:numPr>
      </w:pPr>
      <w:r>
        <w:rPr>
          <w:rFonts w:ascii="Open Sans" w:cs="Open Sans" w:eastAsia="Open Sans" w:hAnsi="Open Sans"/>
          <w:color w:val="59595B"/>
          <w:sz w:val="22"/>
          <w:szCs w:val="22"/>
        </w:rPr>
        <w:t xml:space="preserve">Recorded training session(s).</w:t>
      </w:r>
    </w:p>
    <w:p>
      <w:pPr>
        <w:spacing w:after="120"/>
      </w:pPr>
      <w:r>
        <w:rPr>
          <w:rFonts w:ascii="Open Sans" w:cs="Open Sans" w:eastAsia="Open Sans" w:hAnsi="Open Sans"/>
          <w:color w:val="59595B"/>
          <w:sz w:val="22"/>
          <w:szCs w:val="22"/>
        </w:rPr>
        <w:t xml:space="preserve"/>
      </w:r>
    </w:p>
    <w:p>
      <w:pPr>
        <w:pStyle w:val="Heading3"/>
      </w:pPr>
      <w:r>
        <w:rPr>
          <w:rFonts w:ascii="Open Sans" w:cs="Open Sans" w:eastAsia="Open Sans" w:hAnsi="Open Sans"/>
          <w:color w:val="59595B"/>
          <w:sz w:val="22"/>
          <w:szCs w:val="22"/>
        </w:rPr>
        <w:t xml:space="preserve">3.5.3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1200"/>
        <w:gridCol w:w="1400"/>
        <w:gridCol w:w="1260"/>
      </w:tblGrid>
      <w:tr>
        <w:tc>
          <w:tcPr>
            <w:tcW w:type="dxa" w:w="17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Description</w:t>
            </w:r>
          </w:p>
        </w:tc>
        <w:tc>
          <w:tcPr>
            <w:tcW w:type="dxa" w:w="1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4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Timeline</w:t>
            </w:r>
          </w:p>
        </w:tc>
        <w:tc>
          <w:tcPr>
            <w:tcW w:type="dxa" w:w="12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Resource</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Documentation and runbooks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9-10</w:t>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Advisory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Training session(s)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Week 10</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Ravi Jain</w:t>
            </w:r>
          </w:p>
        </w:tc>
      </w:tr>
      <w:tr>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Total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4.0</w:t>
            </w:r>
          </w:p>
        </w:tc>
        <w:tc>
          <w:tcPr>
            <w:tcW w:type="dxa" w:w="1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2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r>
    </w:tbl>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Ongoing Advisory (Optional — T&amp;M)</w:t>
      </w:r>
    </w:p>
    <w:p>
      <w:r>
        <w:rPr>
          <w:rFonts w:ascii="Open Sans" w:cs="Open Sans" w:eastAsia="Open Sans" w:hAnsi="Open Sans"/>
          <w:color w:val="59595B"/>
          <w:sz w:val="22"/>
          <w:szCs w:val="22"/>
        </w:rPr>
        <w:t xml:space="preserve">After Phase 5, Client may request continued fractional CTO / AI advisory support on an as-needed basis. There is no minimum commitment and no retainer; hours are billed only when performed, at the rate in Section 5.1.</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Typical activities: periodic strategy reviews, new model evaluations, vendor renegotiations, outreach copy refresh, dashboard updates, and coaching Client staff on AI best practices.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4. EQUIPMENT AND MATERIALS</w:t>
      </w:r>
    </w:p>
    <w:p>
      <w:r>
        <w:rPr>
          <w:rFonts w:ascii="Open Sans" w:cs="Open Sans" w:eastAsia="Open Sans" w:hAnsi="Open Sans"/>
          <w:color w:val="59595B"/>
          <w:sz w:val="22"/>
          <w:szCs w:val="22"/>
        </w:rPr>
        <w:t xml:space="preserve">No hardware or equipment is supplied under this SOW. Third-party software, data, and API subscriptions required to operate the lead generation system (LLM APIs, enrichment providers, CRM, sending infrastructure) are procured by and paid directly by Client.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5. PRICING AND PAYMENT</w:t>
      </w:r>
    </w:p>
    <w:p>
      <w:pPr>
        <w:pStyle w:val="Heading2"/>
      </w:pPr>
      <w:r>
        <w:rPr>
          <w:rFonts w:ascii="Open Sans" w:cs="Open Sans" w:eastAsia="Open Sans" w:hAnsi="Open Sans"/>
          <w:color w:val="59595B"/>
          <w:sz w:val="22"/>
          <w:szCs w:val="22"/>
        </w:rPr>
        <w:t xml:space="preserve">5.1 Rate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360"/>
      </w:tblGrid>
      <w:tr>
        <w:tc>
          <w:tcPr>
            <w:tcW w:type="dxa" w:w="4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Role</w:t>
            </w:r>
          </w:p>
        </w:tc>
        <w:tc>
          <w:tcPr>
            <w:tcW w:type="dxa" w:w="22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Location</w:t>
            </w:r>
          </w:p>
        </w:tc>
        <w:tc>
          <w:tcPr>
            <w:tcW w:type="dxa" w:w="23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r>
      <w:tr>
        <w:tc>
          <w:tcPr>
            <w:tcW w:type="dxa" w:w="4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CTO / AI Advisory (Ravi Jain)</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(Remote)</w:t>
            </w:r>
          </w:p>
        </w:tc>
        <w:tc>
          <w:tcPr>
            <w:tcW w:type="dxa" w:w="2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 / hr</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After-Hours Premium (weekends, holidays, or after 6:00 PM Pacific)</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US (Remote)</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$350.00 / hr</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Rates are fixed for the term of this engagement. Any rate changes require a written Change Order signed by both Parties.</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5.2 Introductory No-Charge Hours</w:t>
      </w:r>
    </w:p>
    <w:p>
      <w:r>
        <w:rPr>
          <w:rFonts w:ascii="Open Sans" w:cs="Open Sans" w:eastAsia="Open Sans" w:hAnsi="Open Sans"/>
          <w:b/>
          <w:bCs/>
          <w:color w:val="1A1A2E"/>
          <w:sz w:val="22"/>
          <w:szCs w:val="22"/>
        </w:rPr>
        <w:t xml:space="preserve">The first two (2.0) billable-eligible hours </w:t>
      </w:r>
      <w:r>
        <w:rPr>
          <w:rFonts w:ascii="Open Sans" w:cs="Open Sans" w:eastAsia="Open Sans" w:hAnsi="Open Sans"/>
          <w:color w:val="59595B"/>
          <w:sz w:val="22"/>
          <w:szCs w:val="22"/>
        </w:rPr>
        <w:t xml:space="preserve">of engagement are provided at </w:t>
      </w:r>
      <w:r>
        <w:rPr>
          <w:rFonts w:ascii="Open Sans" w:cs="Open Sans" w:eastAsia="Open Sans" w:hAnsi="Open Sans"/>
          <w:b/>
          <w:bCs/>
          <w:color w:val="1A1A2E"/>
          <w:sz w:val="22"/>
          <w:szCs w:val="22"/>
        </w:rPr>
        <w:t xml:space="preserve">no charge </w:t>
      </w:r>
      <w:r>
        <w:rPr>
          <w:rFonts w:ascii="Open Sans" w:cs="Open Sans" w:eastAsia="Open Sans" w:hAnsi="Open Sans"/>
          <w:color w:val="59595B"/>
          <w:sz w:val="22"/>
          <w:szCs w:val="22"/>
        </w:rPr>
        <w:t xml:space="preserve">as a relationship-building courtesy. These hours will typically be consumed during the Phase 1 discovery session. No-charge hours are not refundable, not transferable, and not cumulative; if the engagement concludes within the first two hours, no invoice will be issued.</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5.3 Summary of Costs (Planning Estimate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500"/>
        <w:gridCol w:w="1500"/>
        <w:gridCol w:w="1500"/>
        <w:gridCol w:w="1060"/>
      </w:tblGrid>
      <w:tr>
        <w:tc>
          <w:tcPr>
            <w:tcW w:type="dxa" w:w="38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Phase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Type</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Est. Hours</w:t>
            </w:r>
          </w:p>
        </w:tc>
        <w:tc>
          <w:tcPr>
            <w:tcW w:type="dxa" w:w="150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Rate</w:t>
            </w:r>
          </w:p>
        </w:tc>
        <w:tc>
          <w:tcPr>
            <w:tcW w:type="dxa" w:w="1060"/>
            <w:tcBorders>
              <w:top w:val="single" w:color="DDDDDD" w:sz="1"/>
              <w:left w:val="single" w:color="DDDDDD" w:sz="1"/>
              <w:bottom w:val="single" w:color="DDDDDD" w:sz="1"/>
              <w:right w:val="single" w:color="DDDDDD" w:sz="1"/>
            </w:tcBorders>
            <w:shd w:fill="006DB6" w:val="clear"/>
            <w:tcMar>
              <w:top w:type="dxa" w:w="80"/>
              <w:left w:type="dxa" w:w="120"/>
              <w:bottom w:type="dxa" w:w="80"/>
              <w:right w:type="dxa" w:w="120"/>
            </w:tcMar>
            <w:vAlign w:val="center"/>
          </w:tcPr>
          <w:p>
            <w:r>
              <w:rPr>
                <w:rFonts w:ascii="Open Sans" w:cs="Open Sans" w:eastAsia="Open Sans" w:hAnsi="Open Sans"/>
                <w:b/>
                <w:bCs/>
                <w:color w:val="FFFFFF"/>
                <w:sz w:val="20"/>
                <w:szCs w:val="20"/>
              </w:rPr>
              <w:t xml:space="preserve">Cost</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Discovery (no-charge portion)</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Credit</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$0.00</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1 — Discovery (billable portion)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Estimate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$500.00</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2 — Architecture &amp; Tool Selection</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Estimate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6.0</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$1,500.00</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3 — Build &amp; Integration</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Estimate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21.0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$5,250.00</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4 — Pilot, Tuning &amp; Go-Live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Estimate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7.0</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$1,750.00</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Phase 5 — Knowledge Transfer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Estimate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4.0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$250.00</w:t>
            </w:r>
          </w:p>
        </w:tc>
        <w:tc>
          <w:tcPr>
            <w:tcW w:type="dxa" w:w="1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$1,000.00</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Estimated Total Project (billable only)</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40.0</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val="false"/>
                <w:bCs w:val="false"/>
                <w:color w:val="59595B"/>
                <w:sz w:val="20"/>
                <w:szCs w:val="20"/>
              </w:rPr>
              <w:t xml:space="preserve"/>
            </w:r>
          </w:p>
        </w:tc>
        <w:tc>
          <w:tcPr>
            <w:tcW w:type="dxa" w:w="1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vAlign w:val="center"/>
          </w:tcPr>
          <w:p>
            <w:r>
              <w:rPr>
                <w:rFonts w:ascii="Open Sans" w:cs="Open Sans" w:eastAsia="Open Sans" w:hAnsi="Open Sans"/>
                <w:b/>
                <w:bCs/>
                <w:color w:val="59595B"/>
                <w:sz w:val="20"/>
                <w:szCs w:val="20"/>
              </w:rPr>
              <w:t xml:space="preserve">$10,000.00</w:t>
            </w:r>
          </w:p>
        </w:tc>
      </w:tr>
    </w:tbl>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Pricing Type Definitions</w:t>
      </w:r>
    </w:p>
    <w:p>
      <w:pPr>
        <w:pStyle w:val="ListParagraph"/>
        <w:numPr>
          <w:ilvl w:val="0"/>
          <w:numId w:val="5"/>
        </w:numPr>
      </w:pPr>
      <w:r>
        <w:rPr>
          <w:rFonts w:ascii="Open Sans" w:cs="Open Sans" w:eastAsia="Open Sans" w:hAnsi="Open Sans"/>
          <w:color w:val="59595B"/>
          <w:sz w:val="22"/>
          <w:szCs w:val="22"/>
        </w:rPr>
        <w:t xml:space="preserve">Estimate Cost. Hours and costs in the table above are good-faith planning estimates. Technijian will bill for actual time performed, at the rate in Section 5.1. If cumulative actual hours are projected to exceed the total estimate by more than 10%, Technijian will notify Client in writing before performing the additional hours.</w:t>
      </w:r>
    </w:p>
    <w:p>
      <w:pPr>
        <w:pStyle w:val="ListParagraph"/>
        <w:numPr>
          <w:ilvl w:val="0"/>
          <w:numId w:val="5"/>
        </w:numPr>
      </w:pPr>
      <w:r>
        <w:rPr>
          <w:rFonts w:ascii="Open Sans" w:cs="Open Sans" w:eastAsia="Open Sans" w:hAnsi="Open Sans"/>
          <w:color w:val="59595B"/>
          <w:sz w:val="22"/>
          <w:szCs w:val="22"/>
        </w:rPr>
        <w:t xml:space="preserve">Credit. The two no-charge hours are reflected as a $0.00 credit and will not appear as a line item on any invoice.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5.4 Invoicing and Payment Schedule</w:t>
      </w:r>
    </w:p>
    <w:p>
      <w:pPr>
        <w:pStyle w:val="ListParagraph"/>
        <w:numPr>
          <w:ilvl w:val="0"/>
          <w:numId w:val="6"/>
        </w:numPr>
      </w:pPr>
      <w:r>
        <w:rPr>
          <w:rFonts w:ascii="Open Sans" w:cs="Open Sans" w:eastAsia="Open Sans" w:hAnsi="Open Sans"/>
          <w:color w:val="59595B"/>
          <w:sz w:val="22"/>
          <w:szCs w:val="22"/>
        </w:rPr>
        <w:t xml:space="preserve">Technijian will invoice Client bi-weekly (every two weeks) for actual hours performed during the preceding period, itemized by date, duration, phase, and description of work.</w:t>
      </w:r>
    </w:p>
    <w:p>
      <w:pPr>
        <w:pStyle w:val="ListParagraph"/>
        <w:numPr>
          <w:ilvl w:val="0"/>
          <w:numId w:val="6"/>
        </w:numPr>
      </w:pPr>
      <w:r>
        <w:rPr>
          <w:rFonts w:ascii="Open Sans" w:cs="Open Sans" w:eastAsia="Open Sans" w:hAnsi="Open Sans"/>
          <w:color w:val="59595B"/>
          <w:sz w:val="22"/>
          <w:szCs w:val="22"/>
        </w:rPr>
        <w:t xml:space="preserve">The first invoice will not be issued until cumulative billable hours exceed the two (2) no-charge hours.</w:t>
      </w:r>
    </w:p>
    <w:p>
      <w:pPr>
        <w:pStyle w:val="ListParagraph"/>
        <w:numPr>
          <w:ilvl w:val="0"/>
          <w:numId w:val="6"/>
        </w:numPr>
      </w:pPr>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5.5 Payment Terms</w:t>
      </w:r>
    </w:p>
    <w:p>
      <w:r>
        <w:rPr>
          <w:rFonts w:ascii="Open Sans" w:cs="Open Sans" w:eastAsia="Open Sans" w:hAnsi="Open Sans"/>
          <w:color w:val="59595B"/>
          <w:sz w:val="22"/>
          <w:szCs w:val="22"/>
        </w:rPr>
        <w:t xml:space="preserve">All invoices are due and payable within thirty (30) days of the invoice date.</w:t>
      </w:r>
    </w:p>
    <w:p>
      <w:pPr>
        <w:spacing w:after="120"/>
      </w:pPr>
      <w:r>
        <w:rPr>
          <w:rFonts w:ascii="Open Sans" w:cs="Open Sans" w:eastAsia="Open Sans" w:hAnsi="Open Sans"/>
          <w:color w:val="59595B"/>
          <w:sz w:val="22"/>
          <w:szCs w:val="22"/>
        </w:rPr>
        <w:t xml:space="preserve"/>
      </w:r>
    </w:p>
    <w:p>
      <w:pPr>
        <w:pStyle w:val="Heading2"/>
      </w:pPr>
      <w:r>
        <w:rPr>
          <w:rFonts w:ascii="Open Sans" w:cs="Open Sans" w:eastAsia="Open Sans" w:hAnsi="Open Sans"/>
          <w:color w:val="59595B"/>
          <w:sz w:val="22"/>
          <w:szCs w:val="22"/>
        </w:rPr>
        <w:t xml:space="preserve">5.6 Late Payment and Collection Remedies</w:t>
      </w:r>
    </w:p>
    <w:p>
      <w:r>
        <w:rPr>
          <w:rFonts w:ascii="Open Sans" w:cs="Open Sans" w:eastAsia="Open Sans" w:hAnsi="Open Sans"/>
          <w:color w:val="59595B"/>
          <w:sz w:val="22"/>
          <w:szCs w:val="22"/>
        </w:rPr>
        <w:t xml:space="preserve">Because no MSA is in effect between the Parties, the following standalone provisions apply: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(a) Late Payment. </w:t>
      </w:r>
      <w:r>
        <w:rPr>
          <w:rFonts w:ascii="Open Sans" w:cs="Open Sans" w:eastAsia="Open Sans" w:hAnsi="Open Sans"/>
          <w:color w:val="59595B"/>
          <w:sz w:val="22"/>
          <w:szCs w:val="22"/>
        </w:rPr>
        <w:t xml:space="preserve">Late payments shall accrue a late fee of 1.5% per month (or the maximum rate permitted by law, whichever is less) on the unpaid balance, calculated as simple interest from the date payment was due. The Parties acknowledge that the late fee represents a reasonable estimate of Technijian’s administrative costs and damages resulting from late payment and is not a penalty.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(b) Acceleration. </w:t>
      </w:r>
      <w:r>
        <w:rPr>
          <w:rFonts w:ascii="Open Sans" w:cs="Open Sans" w:eastAsia="Open Sans" w:hAnsi="Open Sans"/>
          <w:color w:val="59595B"/>
          <w:sz w:val="22"/>
          <w:szCs w:val="22"/>
        </w:rPr>
        <w:t xml:space="preserve">If Client fails to pay any undisputed invoice within forty-five (45) days of the due date, all remaining fees under this SOW shall become immediately due and payable.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(c) Suspension. </w:t>
      </w:r>
      <w:r>
        <w:rPr>
          <w:rFonts w:ascii="Open Sans" w:cs="Open Sans" w:eastAsia="Open Sans" w:hAnsi="Open Sans"/>
          <w:color w:val="59595B"/>
          <w:sz w:val="22"/>
          <w:szCs w:val="22"/>
        </w:rPr>
        <w:t xml:space="preserve">Technijian may suspend all work under this SOW upon ten (10) days written notice if any invoice remains unpaid beyond the due date. Suspension shall not relieve Client of its payment obligations, and project timelines shall be adjusted accordingly at no cost to Technijian.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(d) Collection Costs and Attorney’s Fees. </w:t>
      </w:r>
      <w:r>
        <w:rPr>
          <w:rFonts w:ascii="Open Sans" w:cs="Open Sans" w:eastAsia="Open Sans" w:hAnsi="Open Sans"/>
          <w:color w:val="59595B"/>
          <w:sz w:val="22"/>
          <w:szCs w:val="22"/>
        </w:rPr>
        <w:t xml:space="preserve">In any action or proceeding to collect fees, invoices, or other amounts owed under this SOW, the prevailing Party shall be entitled to recover all reasonable costs of collection, including attorney’s fees (including in-house counsel at market rates), collection agency fees, court costs, arbitration fees, and all costs of appeal. Pursuant to California Civil Code Section 1717, the Parties acknowledge that this attorney’s fees provision is reciprocal. This fee-shifting applies exclusively to collection of amounts owed and does not apply to disputes regarding service quality, professional performance, or other non-payment claims.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(e) Lien on Work Product. </w:t>
      </w:r>
      <w:r>
        <w:rPr>
          <w:rFonts w:ascii="Open Sans" w:cs="Open Sans" w:eastAsia="Open Sans" w:hAnsi="Open Sans"/>
          <w:color w:val="59595B"/>
          <w:sz w:val="22"/>
          <w:szCs w:val="22"/>
        </w:rPr>
        <w:t xml:space="preserve">Technijian shall retain a lien on all deliverables, work product, documentation, and materials (excluding Client Data) under this SOW until all amounts owed are paid in full.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b/>
          <w:bCs/>
          <w:color w:val="1A1A2E"/>
          <w:sz w:val="22"/>
          <w:szCs w:val="22"/>
        </w:rPr>
        <w:t xml:space="preserve">(f) Fees for Non-Collection Disputes. </w:t>
      </w:r>
      <w:r>
        <w:rPr>
          <w:rFonts w:ascii="Open Sans" w:cs="Open Sans" w:eastAsia="Open Sans" w:hAnsi="Open Sans"/>
          <w:color w:val="59595B"/>
          <w:sz w:val="22"/>
          <w:szCs w:val="22"/>
        </w:rPr>
        <w:t xml:space="preserve">Except as provided in subsection (d) above, in any dispute arising under this SOW relating to service quality, professional performance, scope, or any other non-payment matter, each Party shall bear its own attorney’s fees and costs.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6. CLIENT RESPONSIBILITIES</w:t>
      </w:r>
    </w:p>
    <w:p>
      <w:r>
        <w:rPr>
          <w:rFonts w:ascii="Open Sans" w:cs="Open Sans" w:eastAsia="Open Sans" w:hAnsi="Open Sans"/>
          <w:color w:val="59595B"/>
          <w:sz w:val="22"/>
          <w:szCs w:val="22"/>
        </w:rPr>
        <w:t xml:space="preserve">Client shall:</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Provide access to systems, tools, and personnel reasonably required for Technijian to perform the work (e.g., CRM admin access, LLM vendor accounts, sample prospect data);</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Designate a single empowered point of contact (default: Sanford Coggins) authorized to approve scope, spend, vendor selection, and outreach campaigns;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Review and approve deliverables, vendor recommendations, and outreach campaigns within five (5) business days of submission;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Procure and pay for all third-party services directly (LLM APIs, enrichment data, CRM, sending infrastructure);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Ensure that all outreach content is compliant with applicable law (SEC Rule 506(b)/506(c), CAN-SPAM, TCPA, state solicitation rules) prior to send. Client acknowledges that Technijian is not a law firm and is not providing legal or compliance advice;</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(f) Not use the lead generation system, or any output thereof, for any activity requiring a securities license unless Client (or a licensed affiliate) holds the requisite license; and</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(g) Inform internal stakeholders of any system changes that affect their workflow.</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7. CHANGE MANAGEMENT</w:t>
      </w:r>
    </w:p>
    <w:p>
      <w:r>
        <w:rPr>
          <w:rFonts w:ascii="Open Sans" w:cs="Open Sans" w:eastAsia="Open Sans" w:hAnsi="Open Sans"/>
          <w:color w:val="59595B"/>
          <w:sz w:val="22"/>
          <w:szCs w:val="22"/>
        </w:rPr>
        <w:t xml:space="preserve">7.01. Because this is a T&amp;M engagement, Client may expand, narrow, or redirect scope at any time by written instruction (email is sufficient). Changes that materially alter the rate, total estimate, or assumptions in this SOW require a written Change Order signed by both Parties before the changed work begins.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7.02. If Client requests work that in Technijian’s reasonable judgment exceeds the skill mix or rate card of this SOW (e.g., custom software engineering beyond integration work), Technijian shall provide a Change Order detailing the additional role(s), rate(s), and estimated impact.</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7.03. Technijian shall not perform work that would exceed the estimate in Section 5.3 by more than 10% without notifying Client in advance, except in cases where delay would cause imminent harm to Client’s systems, in which case Technijian may perform emergency work not to exceed $2,500 (at the Section 5.1 rate) and shall notify Client as soon as practicable, with a retrospective Change Order within three (3) business days.</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8. ACCEPTANCE</w:t>
      </w:r>
    </w:p>
    <w:p>
      <w:r>
        <w:rPr>
          <w:rFonts w:ascii="Open Sans" w:cs="Open Sans" w:eastAsia="Open Sans" w:hAnsi="Open Sans"/>
          <w:color w:val="59595B"/>
          <w:sz w:val="22"/>
          <w:szCs w:val="22"/>
        </w:rPr>
        <w:t xml:space="preserve">8.01. Upon completion of each deliverable listed in Section 3, Technijian shall notify Client in writing that the deliverable is ready for review.</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8.02. Client shall review the deliverable and provide written acceptance or a detailed description of deficiencies within five (5) business days of submission. Technijian’s delivery notification shall include a conspicuous statement: “If you do not respond within five (5) business days, this deliverable will be deemed accepted per SOW Section 8.03.”</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8.03. If Client does not respond within the review period, the deliverable shall be deemed accepted.</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8.04. If deficiencies are identified, Technijian shall correct them and resubmit for review. This process shall repeat until acceptance is achieved or the Parties agree on a resolution.</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9. GOVERNING TERMS</w:t>
      </w:r>
    </w:p>
    <w:p>
      <w:r>
        <w:rPr>
          <w:rFonts w:ascii="Open Sans" w:cs="Open Sans" w:eastAsia="Open Sans" w:hAnsi="Open Sans"/>
          <w:color w:val="59595B"/>
          <w:sz w:val="22"/>
          <w:szCs w:val="22"/>
        </w:rPr>
        <w:t xml:space="preserve">9.01. No Master Service Agreement is currently in effect between the Parties. This SOW is a standalone engagement governed by the Technijian Standard Terms and Conditions (Appendix A, if attached) and the following minimum terms:</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(a) Neither Party’s total aggregate liability under this SOW shall exceed the total fees paid or payable under this SOW in the six (6) months preceding the claim.</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(b) In no event shall either Party be liable for indirect, incidental, special, consequential, or punitive damages, including but not limited to lost profits, lost investors, or lost business opportunity.</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(c) This SOW shall be governed by the laws of the State of California, without regard to conflict-of-laws principles. Any dispute shall be resolved by binding arbitration in Orange County, California, under the AAA Commercial Arbitration Rules, except that either Party may seek injunctive relief in court for protection of intellectual property or confidential information.</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(d) Each Party shall keep the other’s confidential information (including pricing, business plans, and investor data) strictly confidential during the engagement and for three (3) years thereafter.</w:t>
      </w:r>
    </w:p>
    <w:p>
      <w:pPr>
        <w:spacing w:after="120"/>
      </w:pPr>
      <w:r>
        <w:rPr>
          <w:rFonts w:ascii="Open Sans" w:cs="Open Sans" w:eastAsia="Open Sans" w:hAnsi="Open Sans"/>
          <w:color w:val="59595B"/>
          <w:sz w:val="22"/>
          <w:szCs w:val="22"/>
        </w:rPr>
        <w:t xml:space="preserve"/>
      </w:r>
    </w:p>
    <w:p>
      <w:pPr>
        <w:ind w:left="360"/>
      </w:pPr>
      <w:r>
        <w:rPr>
          <w:rFonts w:ascii="Open Sans" w:cs="Open Sans" w:eastAsia="Open Sans" w:hAnsi="Open Sans"/>
          <w:color w:val="59595B"/>
          <w:sz w:val="22"/>
          <w:szCs w:val="22"/>
        </w:rPr>
        <w:t xml:space="preserve">(e) Client retains ownership of all Client Data. Technijian retains ownership of its pre-existing tools, methodologies, and templates. Client receives a perpetual, non-exclusive license to use the deliverables and configurations produced under this SOW for its internal business purposes.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9.02. If the Parties subsequently execute a Master Service Agreement, the terms of the MSA shall govern and supersede this Section 9 to the extent of any conflict.</w:t>
      </w:r>
    </w:p>
    <w:p>
      <w:pPr>
        <w:pBdr>
          <w:bottom w:val="single" w:color="006DB6" w:sz="3"/>
        </w:pBdr>
        <w:spacing w:after="200" w:before="200"/>
      </w:pPr>
    </w:p>
    <w:p>
      <w:pPr>
        <w:pStyle w:val="Heading1"/>
      </w:pPr>
      <w:r>
        <w:rPr>
          <w:rFonts w:ascii="Open Sans" w:cs="Open Sans" w:eastAsia="Open Sans" w:hAnsi="Open Sans"/>
          <w:color w:val="59595B"/>
          <w:sz w:val="22"/>
          <w:szCs w:val="22"/>
        </w:rPr>
        <w:t xml:space="preserve">SIGNATURES</w:t>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TECHNIJIAN, INC.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Ravi Jain</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Chief Executive Officer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p>
      <w:pPr>
        <w:spacing w:after="120"/>
      </w:pPr>
      <w:r>
        <w:rPr>
          <w:rFonts w:ascii="Open Sans" w:cs="Open Sans" w:eastAsia="Open Sans" w:hAnsi="Open Sans"/>
          <w:color w:val="59595B"/>
          <w:sz w:val="22"/>
          <w:szCs w:val="22"/>
        </w:rPr>
        <w:t xml:space="preserve"/>
      </w:r>
    </w:p>
    <w:p>
      <w:pPr>
        <w:spacing w:after="120"/>
      </w:pPr>
      <w:r>
        <w:rPr>
          <w:rFonts w:ascii="Open Sans" w:cs="Open Sans" w:eastAsia="Open Sans" w:hAnsi="Open Sans"/>
          <w:color w:val="59595B"/>
          <w:sz w:val="22"/>
          <w:szCs w:val="22"/>
        </w:rPr>
        <w:t xml:space="preserve"/>
      </w:r>
    </w:p>
    <w:p>
      <w:r>
        <w:rPr>
          <w:rFonts w:ascii="Open Sans" w:cs="Open Sans" w:eastAsia="Open Sans" w:hAnsi="Open Sans"/>
          <w:b/>
          <w:bCs/>
          <w:color w:val="1A1A2E"/>
          <w:sz w:val="22"/>
          <w:szCs w:val="22"/>
        </w:rPr>
        <w:t xml:space="preserve">VISIONWISE CAPITAL, LLC</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By: ___________________________________</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Name: Sanford Coggins</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Title: Founder</w:t>
      </w:r>
    </w:p>
    <w:p>
      <w:pPr>
        <w:spacing w:after="120"/>
      </w:pPr>
      <w:r>
        <w:rPr>
          <w:rFonts w:ascii="Open Sans" w:cs="Open Sans" w:eastAsia="Open Sans" w:hAnsi="Open Sans"/>
          <w:color w:val="59595B"/>
          <w:sz w:val="22"/>
          <w:szCs w:val="22"/>
        </w:rPr>
        <w:t xml:space="preserve"/>
      </w:r>
    </w:p>
    <w:p>
      <w:r>
        <w:rPr>
          <w:rFonts w:ascii="Open Sans" w:cs="Open Sans" w:eastAsia="Open Sans" w:hAnsi="Open Sans"/>
          <w:color w:val="59595B"/>
          <w:sz w:val="22"/>
          <w:szCs w:val="22"/>
        </w:rPr>
        <w:t xml:space="preserve">Date: 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60" w:before="280"/>
      <w:outlineLvl w:val="1"/>
    </w:pPr>
    <w:rPr>
      <w:rFonts w:ascii="Open Sans" w:cs="Open Sans" w:eastAsia="Open Sans" w:hAnsi="Open Sans"/>
      <w:b/>
      <w:bCs/>
      <w:color w:val="1A1A2E"/>
      <w:sz w:val="28"/>
      <w:szCs w:val="28"/>
    </w:rPr>
  </w:style>
  <w:style w:type="paragraph" w:styleId="Heading3">
    <w:name w:val="Heading 3"/>
    <w:basedOn w:val="Normal"/>
    <w:next w:val="Normal"/>
    <w:qFormat/>
    <w:pPr>
      <w:spacing w:after="120" w:before="20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37ab963d63198c507d4d2f60f27ab9adb7b80fb.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2026-04-24T17:29:27.648Z</dcterms:created>
  <dcterms:modified xsi:type="dcterms:W3CDTF">2026-04-24T17:29:27.649Z</dcterms:modified>
</cp:coreProperties>
</file>

<file path=docProps/custom.xml><?xml version="1.0" encoding="utf-8"?>
<Properties xmlns="http://schemas.openxmlformats.org/officeDocument/2006/custom-properties" xmlns:vt="http://schemas.openxmlformats.org/officeDocument/2006/docPropsVTypes"/>
</file>