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3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80"/>
        <w:gridCol w:w="2800"/>
        <w:gridCol w:w="3280"/>
      </w:tblGrid>
      <w:tr>
        <w:tc>
          <w:tcPr>
            <w:tcW w:type="dxa" w:w="3280"/>
            <w:tcBorders>
              <w:top w:val="none"/>
              <w:left w:val="none"/>
              <w:bottom w:val="none"/>
              <w:right w:val="none"/>
            </w:tcBorders>
          </w:tcPr>
          <w:p/>
        </w:tc>
        <w:tc>
          <w:tcPr>
            <w:tcW w:type="dxa" w:w="2800"/>
            <w:tcBorders>
              <w:top w:val="none"/>
              <w:left w:val="none"/>
              <w:bottom w:val="none"/>
              <w:right w:val="none"/>
            </w:tcBorders>
          </w:tcPr>
          <w:p>
            <w:pPr>
              <w:pBdr>
                <w:bottom w:val="single" w:color="F67D4B" w:sz="6" w:space="0"/>
              </w:pBdr>
            </w:pPr>
          </w:p>
        </w:tc>
        <w:tc>
          <w:tcPr>
            <w:tcW w:type="dxa" w:w="3280"/>
            <w:tcBorders>
              <w:top w:val="none"/>
              <w:left w:val="none"/>
              <w:bottom w:val="none"/>
              <w:right w:val="none"/>
            </w:tcBorders>
          </w:tcPr>
          <w:p/>
        </w:tc>
      </w:tr>
    </w:tbl>
    <w:p>
      <w:pPr>
        <w:spacing w:before="400"/>
        <w:jc w:val="center"/>
      </w:pPr>
      <w:r>
        <w:rPr>
          <w:rFonts w:ascii="Open Sans" w:cs="Open Sans" w:eastAsia="Open Sans" w:hAnsi="Open Sans"/>
          <w:b/>
          <w:bCs/>
          <w:color w:val="1A1A2E"/>
          <w:sz w:val="52"/>
          <w:szCs w:val="52"/>
        </w:rPr>
        <w:t xml:space="preserve">Schedule A</w:t>
      </w:r>
    </w:p>
    <w:p>
      <w:pPr>
        <w:spacing w:before="200"/>
        <w:jc w:val="center"/>
      </w:pPr>
      <w:r>
        <w:rPr>
          <w:rFonts w:ascii="Open Sans" w:cs="Open Sans" w:eastAsia="Open Sans" w:hAnsi="Open Sans"/>
          <w:color w:val="59595B"/>
          <w:sz w:val="26"/>
          <w:szCs w:val="26"/>
        </w:rPr>
        <w:t xml:space="preserve">Monthly Managed Services
Attached to MSA-BWH</w:t>
      </w:r>
    </w:p>
    <w:p>
      <w:pPr>
        <w:spacing w:before="100"/>
        <w:jc w:val="center"/>
      </w:pPr>
      <w:r>
        <w:rPr>
          <w:rFonts w:ascii="Open Sans" w:cs="Open Sans" w:eastAsia="Open Sans" w:hAnsi="Open Sans"/>
          <w:color w:val="59595B"/>
          <w:sz w:val="22"/>
          <w:szCs w:val="22"/>
        </w:rPr>
        <w:t xml:space="preserve">May 1, 2026</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67D4B"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 — For authorized use only</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SCHEDULE A — MONTHLY MANAGED SERVICES</w:t>
            </w:r>
          </w:p>
        </w:tc>
      </w:tr>
    </w:tbl>
    <w:p>
      <w:pPr>
        <w:spacing w:before="100"/>
      </w:pPr>
    </w:p>
    <w:p>
      <w:pPr>
        <w:spacing w:after="120"/>
      </w:pPr>
      <w:r>
        <w:rPr>
          <w:rFonts w:ascii="Open Sans" w:cs="Open Sans" w:eastAsia="Open Sans" w:hAnsi="Open Sans"/>
          <w:color w:val="59595B"/>
          <w:sz w:val="22"/>
          <w:szCs w:val="22"/>
        </w:rPr>
        <w:t xml:space="preserve">Attached to Master Service Agreement MSA-BWH</w:t>
      </w:r>
    </w:p>
    <w:p>
      <w:pPr>
        <w:spacing w:after="120"/>
      </w:pPr>
      <w:r>
        <w:rPr>
          <w:rFonts w:ascii="Open Sans" w:cs="Open Sans" w:eastAsia="Open Sans" w:hAnsi="Open Sans"/>
          <w:color w:val="59595B"/>
          <w:sz w:val="22"/>
          <w:szCs w:val="22"/>
        </w:rPr>
        <w:t xml:space="preserve">Effective Date: May 1, 2026</w:t>
      </w:r>
    </w:p>
    <w:p>
      <w:pPr>
        <w:spacing w:after="120"/>
      </w:pPr>
      <w:r>
        <w:rPr>
          <w:rFonts w:ascii="Open Sans" w:cs="Open Sans" w:eastAsia="Open Sans" w:hAnsi="Open Sans"/>
          <w:color w:val="59595B"/>
          <w:sz w:val="22"/>
          <w:szCs w:val="22"/>
        </w:rPr>
        <w:t xml:space="preserve">This Schedule describes the Monthly Managed Services provided by Technijian, Inc. (“Technijian”) to Brandywine Homes (“Client”) under the Master Service Agreement.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1 — ONLINE SERVICES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1.1 Description</w:t>
            </w:r>
          </w:p>
        </w:tc>
      </w:tr>
    </w:tbl>
    <w:p>
      <w:pPr>
        <w:spacing w:after="120"/>
      </w:pPr>
      <w:r>
        <w:rPr>
          <w:rFonts w:ascii="Open Sans" w:cs="Open Sans" w:eastAsia="Open Sans" w:hAnsi="Open Sans"/>
          <w:color w:val="59595B"/>
          <w:sz w:val="22"/>
          <w:szCs w:val="22"/>
        </w:rPr>
        <w:t xml:space="preserve">Online Services include managed infrastructure, security, monitoring, and related IT services delivered on a recurring monthly basis. Services are selected from the Technijian Price List and itemized in the Service Order below.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1.2 Service Categories</w:t>
            </w:r>
          </w:p>
        </w:tc>
      </w:tr>
    </w:tbl>
    <w:p>
      <w:pPr>
        <w:spacing w:after="120"/>
      </w:pPr>
      <w:r>
        <w:rPr>
          <w:rFonts w:ascii="Open Sans" w:cs="Open Sans" w:eastAsia="Open Sans" w:hAnsi="Open Sans"/>
          <w:color w:val="59595B"/>
          <w:sz w:val="22"/>
          <w:szCs w:val="22"/>
        </w:rPr>
        <w:t xml:space="preserve">Online Services are organized into the following categories. Specific services, quantities, and pricing are detailed in the Service Order attached to this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Category</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Description</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Desktop Management</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antivirus (CrowdStrike, Huntress), DNS filtering, remote access, monitoring</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Server Management</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 image backup, antivirus (CrowdStrike, Huntress), remote access, monitoring</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Cloud Infrastructure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 Veeam management</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Network &amp; Security</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Switch config backup, firewall traffic monitoring, WiFi monitoring, pen testing, storage monitoring</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Email &amp; Compliance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 DMARC/DKIM, anti-spam, phishing training, Veeam 365, file sharing</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1.3 Service Order</w:t>
            </w:r>
          </w:p>
        </w:tc>
      </w:tr>
    </w:tbl>
    <w:p>
      <w:pPr>
        <w:spacing w:after="120"/>
      </w:pPr>
      <w:r>
        <w:rPr>
          <w:rFonts w:ascii="Open Sans" w:cs="Open Sans" w:eastAsia="Open Sans" w:hAnsi="Open Sans"/>
          <w:color w:val="59595B"/>
          <w:sz w:val="22"/>
          <w:szCs w:val="22"/>
        </w:rPr>
        <w:t xml:space="preserve">The specific services, quantities, and monthly pricing for Client are detailed below. The Service Order may be updated by mutual written agreement.</w:t>
      </w:r>
    </w:p>
    <w:p>
      <w:pPr>
        <w:spacing w:before="100"/>
      </w:pPr>
    </w:p>
    <w:p>
      <w:pPr>
        <w:spacing w:after="60"/>
      </w:pPr>
      <w:r>
        <w:rPr>
          <w:rFonts w:ascii="Open Sans" w:cs="Open Sans" w:eastAsia="Open Sans" w:hAnsi="Open Sans"/>
          <w:b/>
          <w:bCs/>
          <w:color w:val="1A1A2E"/>
          <w:sz w:val="20"/>
          <w:szCs w:val="20"/>
        </w:rPr>
        <w:t xml:space="preserve">Desktop Management (32 desktops)</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$192.00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$104.00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Desktop (Huntress)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AVMH</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$192.00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Desktop (CrowdStrike)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AVD</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$272.00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Desktop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$952.00</w:t>
            </w:r>
          </w:p>
        </w:tc>
      </w:tr>
    </w:tbl>
    <w:p>
      <w:pPr>
        <w:spacing w:before="100"/>
      </w:pPr>
    </w:p>
    <w:p>
      <w:pPr>
        <w:spacing w:after="60"/>
      </w:pPr>
      <w:r>
        <w:rPr>
          <w:rFonts w:ascii="Open Sans" w:cs="Open Sans" w:eastAsia="Open Sans" w:hAnsi="Open Sans"/>
          <w:b/>
          <w:bCs/>
          <w:color w:val="1A1A2E"/>
          <w:sz w:val="20"/>
          <w:szCs w:val="20"/>
        </w:rPr>
        <w:t xml:space="preserve">Server Management (12 servers)</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Patch Management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PMW</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Secure Internet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Remote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OPS-NET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$3.25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$39.00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Image Backup (Veeam)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 Protection — Server (Huntress)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AVHS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 Protection — Server (CrowdStrike)</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AVS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$10.50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Server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$561.00</w:t>
            </w:r>
          </w:p>
        </w:tc>
      </w:tr>
    </w:tbl>
    <w:p>
      <w:pPr>
        <w:spacing w:before="100"/>
      </w:pPr>
    </w:p>
    <w:p>
      <w:pPr>
        <w:spacing w:after="60"/>
      </w:pPr>
      <w:r>
        <w:rPr>
          <w:rFonts w:ascii="Open Sans" w:cs="Open Sans" w:eastAsia="Open Sans" w:hAnsi="Open Sans"/>
          <w:b/>
          <w:bCs/>
          <w:color w:val="1A1A2E"/>
          <w:sz w:val="20"/>
          <w:szCs w:val="20"/>
        </w:rPr>
        <w:t xml:space="preserve">Cloud Infrastructure</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Backup Storage (TB)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TB-BSTR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One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VONE</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$33.00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Cloud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$683.00</w:t>
            </w:r>
          </w:p>
        </w:tc>
      </w:tr>
    </w:tbl>
    <w:p>
      <w:pPr>
        <w:spacing w:before="100"/>
      </w:pPr>
    </w:p>
    <w:p>
      <w:pPr>
        <w:spacing w:after="60"/>
      </w:pPr>
      <w:r>
        <w:rPr>
          <w:rFonts w:ascii="Open Sans" w:cs="Open Sans" w:eastAsia="Open Sans" w:hAnsi="Open Sans"/>
          <w:b/>
          <w:bCs/>
          <w:color w:val="1A1A2E"/>
          <w:sz w:val="20"/>
          <w:szCs w:val="20"/>
        </w:rPr>
        <w:t xml:space="preserve">Network &amp; Security</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Config (Switches)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OPS-BKP</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$18.00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Real Time Pen Testing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RTPT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$7.00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Traffic (Firewalls)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OPS-TR</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$14.00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Wifi (APs)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OPS-WF</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Ops — Storage (Disks)</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OPS-ST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$4.75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$9.50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Sophos Firewall Subscription 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SO-2C4G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$270.00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MPC Edge Appliance (16GB/8 cores/512GB)</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Edge-16M</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Network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$459.50</w:t>
            </w:r>
          </w:p>
        </w:tc>
      </w:tr>
    </w:tbl>
    <w:p>
      <w:pPr>
        <w:spacing w:before="100"/>
      </w:pPr>
    </w:p>
    <w:p>
      <w:pPr>
        <w:spacing w:after="60"/>
      </w:pPr>
      <w:r>
        <w:rPr>
          <w:rFonts w:ascii="Open Sans" w:cs="Open Sans" w:eastAsia="Open Sans" w:hAnsi="Open Sans"/>
          <w:b/>
          <w:bCs/>
          <w:color w:val="1A1A2E"/>
          <w:sz w:val="20"/>
          <w:szCs w:val="20"/>
        </w:rPr>
        <w:t xml:space="preserve">Email &amp; Compliance</w:t>
      </w:r>
      <w:r>
        <w:rPr>
          <w:rFonts w:ascii="Open Sans" w:cs="Open Sans" w:eastAsia="Open Sans" w:hAnsi="Open Sans"/>
          <w:color w:val="59595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Code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Unit Price</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Qty</w:t>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Monthly</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Site Assessment</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DMARC/DKIM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DKIM</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Anti-Spam Standard</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ASA</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$6.25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83</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$518.75</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Phishing Training</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PHT</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85</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$510.00</w:t>
            </w:r>
          </w:p>
        </w:tc>
      </w:tr>
      <w:tr>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Veeam 365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V365</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110</w:t>
            </w:r>
          </w:p>
        </w:tc>
        <w:tc>
          <w:tcPr>
            <w:tcW w:type="dxa" w:w="1872"/>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$275.00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My Disk</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MDU</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$16.00</w:t>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Email Subtotal</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$1,389.75</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c>
          <w:tcPr>
            <w:tcW w:type="dxa" w:w="1872"/>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
            </w:r>
          </w:p>
        </w:tc>
      </w:tr>
      <w:tr>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TOTAL MONTHLY ONLINE SERVICES</w:t>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
            </w:r>
          </w:p>
        </w:tc>
        <w:tc>
          <w:tcPr>
            <w:tcW w:type="dxa" w:w="1872"/>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bCs/>
                <w:color w:val="1A1A2E"/>
                <w:sz w:val="20"/>
                <w:szCs w:val="20"/>
              </w:rPr>
              <w:t xml:space="preserve">$4,045.25</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 Service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 Level</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Target</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Infrastructure Uptime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99.9% monthly (excluding scheduled maintenance)</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Scheduled Maintenance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Tuesday evenings and Saturdays (with advance notice)</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Critical Incident Response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1 hour of notification</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Standard Support Response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4 business hours</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Maintenance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 needed with reasonable notice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1.4a Service Level Remedies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Service Credits. 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Chronic Failure. If Technijian fails to meet the Infrastructure Uptime target for three (3) or more consecutive months, Client shall have the right to terminate the affected service without penalty upon thirty (30) days written notice.</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Credit Requests. To receive a service credit, Client must submit a written request within thirty (30) days of the end of the affected month. Service credits shall be applied against future invoices and shall not be paid as cash refunds.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Exclusions. Service level targets and remedies do not apply during scheduled maintenance windows, force majeure events, or outages caused by Client’s actions, third-party services not managed by Technijian, or factors outside Technijian’s reasonable control.</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Sole Remedy. Service credits under this Section 1.4a are Client’s sole and exclusive remedy for Technijian’s failure to meet the applicable service levels.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1.5 Monitoring and Reporting</w:t>
            </w:r>
          </w:p>
        </w:tc>
      </w:tr>
    </w:tbl>
    <w:p>
      <w:pPr>
        <w:spacing w:after="120"/>
      </w:pPr>
      <w:r>
        <w:rPr>
          <w:rFonts w:ascii="Open Sans" w:cs="Open Sans" w:eastAsia="Open Sans" w:hAnsi="Open Sans"/>
          <w:color w:val="59595B"/>
          <w:sz w:val="22"/>
          <w:szCs w:val="22"/>
        </w:rPr>
        <w:t xml:space="preserve">Technijian shall provide:</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24/7 monitoring of Client’s infrastructure included in the Service Order;</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Monthly service reports summarizing uptime, incidents, and support activity; and</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Quarterly service reviews with Client’s designated representative.</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Escalation Path. Support requests shall be escalated as follows: Tier 1 (initial response) — assigned technician; Tier 2 (within 4 hours if unresolved) — senior engineer or team lead; Tier 3 (within 8 hours if unresolved) — department manager or CTO Advisory.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2 — SIP TRUNK SERVICES</w:t>
            </w:r>
          </w:p>
        </w:tc>
      </w:tr>
    </w:tbl>
    <w:p>
      <w:pPr>
        <w:spacing w:before="100"/>
      </w:pPr>
    </w:p>
    <w:p>
      <w:pPr>
        <w:spacing w:after="120"/>
      </w:pPr>
      <w:r>
        <w:rPr>
          <w:rFonts w:ascii="Open Sans" w:cs="Open Sans" w:eastAsia="Open Sans" w:hAnsi="Open Sans"/>
          <w:color w:val="59595B"/>
          <w:sz w:val="22"/>
          <w:szCs w:val="22"/>
        </w:rPr>
        <w:t xml:space="preserve">SIP Trunk Services may be added via Service Order amendment.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PART 3 — VIRTUAL STAFF (CONTRACTED SUPPORT)</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3.1 Description</w:t>
            </w:r>
          </w:p>
        </w:tc>
      </w:tr>
    </w:tbl>
    <w:p>
      <w:pPr>
        <w:spacing w:after="120"/>
      </w:pPr>
      <w:r>
        <w:rPr>
          <w:rFonts w:ascii="Open Sans" w:cs="Open Sans" w:eastAsia="Open Sans" w:hAnsi="Open Sans"/>
          <w:color w:val="59595B"/>
          <w:sz w:val="22"/>
          <w:szCs w:val="22"/>
        </w:rPr>
        <w:t xml:space="preserve">Virtual Staff services provide Client with dedicated technology support personnel on a contracted basis. This service operates on a 12-month cycle-based billing model as described below.</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3.2 Support Roles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Role</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Location</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Hours/Mo</w:t>
            </w:r>
          </w:p>
        </w:tc>
        <w:tc>
          <w:tcPr>
            <w:tcW w:type="dxa" w:w="234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BWH Rate</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Systems Architect</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 (IRV-AD1)</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5.00</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$170.00/hr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USA Tech Normal</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US (IRV-TS1)</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15.26</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$106.25/hr</w:t>
            </w:r>
          </w:p>
        </w:tc>
      </w:tr>
      <w:tr>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Tech Normal</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(CHD-TS1)</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58.13</w:t>
            </w:r>
          </w:p>
        </w:tc>
        <w:tc>
          <w:tcPr>
            <w:tcW w:type="dxa" w:w="234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$12.75/hr</w:t>
            </w:r>
          </w:p>
        </w:tc>
      </w:tr>
      <w:tr>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Tech After Hours</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India (CHD-TS1)</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42.82</w:t>
            </w:r>
          </w:p>
        </w:tc>
        <w:tc>
          <w:tcPr>
            <w:tcW w:type="dxa" w:w="234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$25.50/hr</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3.3 Cycle-Based Billing Model</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Billing Cycle. Client has selected a billing cycle of 12 months (the “Cycle”). The purpose of the Cycle is to provide Client with a structured path to eliminate any unpaid hour balance by the end of each Cycle, thereby avoiding cancellation fees.</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Monthly Billed Amount Calculation. The fixed monthly billing rate for each role is calculated as follows:</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At the start of each new Cycle, Technijian calculates the average monthly hours consumed per role during the previous Cycle, excluding the final month of that Cycle.</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This average is then adjusted to account for any unpaid hour balance carried forward from the previous Cycle, so that the new monthly billed amount is set at a level designed to bring the unpaid balance to zero by the end of the current Cycle.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The monthly billed amount for each role equals the adjusted monthly billed hours multiplied by the applicable Contracted Rate from the Rate Card (Schedule C).</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Running Balance. Technijian maintains a running balance for each role:</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At the start of each month, the running balance is adjusted by adding the actual hours used during the previous month and subtracting the monthly billed hours for that month.</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 positive running balance indicates hours consumed in excess of billed amounts (an unpaid hour balance that the Cycle is designed to resolve).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A negative running balance indicates hours billed in excess of consumption. A negative balance does not entitle Client to a credit or refund; it simply means Client has no unpaid hour balance (the unpaid balance is zero). The underlying usage data from months producing a negative balance is used in calculating the average for the next Cycle per Section 3.3(b).</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Cycle Reconciliation. At the end of each Cycle:</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The running balance for each role is reconciled.</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Any net positive balance (hours consumed but not yet billed) is carried forward into the next Cycle. The next Cycle’s monthly billed amount will be recalculated per Section 3.3(b) to absorb this balance and target a zero unpaid balance by the end of the next Cycle.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Any net negative balance (hours billed but not consumed) resets to zero. No credit or refund is issued. The actual usage data from the completed Cycle is used to calculate the monthly billed amount for the next Cycle per Section 3.3(b).</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Cancellation. If Client terminates Virtual Staff services or this Agreement:</w:t>
      </w:r>
    </w:p>
    <w:p>
      <w:pPr>
        <w:spacing w:after="60"/>
        <w:ind w:left="720"/>
      </w:pPr>
      <w:r>
        <w:rPr>
          <w:rFonts w:ascii="Open Sans" w:cs="Open Sans" w:eastAsia="Open Sans" w:hAnsi="Open Sans"/>
          <w:b/>
          <w:bCs/>
          <w:color w:val="006DB6"/>
          <w:sz w:val="22"/>
          <w:szCs w:val="22"/>
        </w:rPr>
        <w:t xml:space="preserve">    1. </w:t>
      </w:r>
      <w:r>
        <w:rPr>
          <w:rFonts w:ascii="Open Sans" w:cs="Open Sans" w:eastAsia="Open Sans" w:hAnsi="Open Sans"/>
          <w:color w:val="59595B"/>
          <w:sz w:val="22"/>
          <w:szCs w:val="22"/>
        </w:rPr>
        <w:t xml:space="preserve">Any positive running balance (actual hours exceeding billed hours) shall become immediately due and payable. The unpaid hours shall be invoiced at the applicable Hourly Rate from the Rate Card (Schedule C), not the Contracted Rate. This reflects the rate that would have applied had Client engaged Technijian on an ad hoc hourly basis without a Cycle commitment.</w:t>
      </w:r>
    </w:p>
    <w:p>
      <w:pPr>
        <w:spacing w:after="60"/>
        <w:ind w:left="720"/>
      </w:pPr>
      <w:r>
        <w:rPr>
          <w:rFonts w:ascii="Open Sans" w:cs="Open Sans" w:eastAsia="Open Sans" w:hAnsi="Open Sans"/>
          <w:b/>
          <w:bCs/>
          <w:color w:val="006DB6"/>
          <w:sz w:val="22"/>
          <w:szCs w:val="22"/>
        </w:rPr>
        <w:t xml:space="preserve">    2. </w:t>
      </w:r>
      <w:r>
        <w:rPr>
          <w:rFonts w:ascii="Open Sans" w:cs="Open Sans" w:eastAsia="Open Sans" w:hAnsi="Open Sans"/>
          <w:color w:val="59595B"/>
          <w:sz w:val="22"/>
          <w:szCs w:val="22"/>
        </w:rPr>
        <w:t xml:space="preserve">Any negative running balance (billed hours exceeding actual hours) does not entitle Client to a credit, refund, or offset against the final invoice. The unpaid balance is simply zero and no further amounts are due from either Party with respect to that role.</w:t>
      </w:r>
    </w:p>
    <w:p>
      <w:pPr>
        <w:spacing w:after="60"/>
        <w:ind w:left="720"/>
      </w:pPr>
      <w:r>
        <w:rPr>
          <w:rFonts w:ascii="Open Sans" w:cs="Open Sans" w:eastAsia="Open Sans" w:hAnsi="Open Sans"/>
          <w:b/>
          <w:bCs/>
          <w:color w:val="006DB6"/>
          <w:sz w:val="22"/>
          <w:szCs w:val="22"/>
        </w:rPr>
        <w:t xml:space="preserve">    3. </w:t>
      </w:r>
      <w:r>
        <w:rPr>
          <w:rFonts w:ascii="Open Sans" w:cs="Open Sans" w:eastAsia="Open Sans" w:hAnsi="Open Sans"/>
          <w:color w:val="59595B"/>
          <w:sz w:val="22"/>
          <w:szCs w:val="22"/>
        </w:rPr>
        <w:t xml:space="preserve">The Cycle-Based Billing Model provides Client with Contracted Rates that are lower than the standard Hourly Rates as consideration for Client’s commitment to the Cycle. The application of Hourly Rates upon cancellation reflects the removal of that commitment and the corresponding rate benefit.</w:t>
      </w:r>
    </w:p>
    <w:p>
      <w:pPr>
        <w:spacing w:after="60"/>
      </w:pPr>
      <w:r>
        <w:rPr>
          <w:rFonts w:ascii="Open Sans" w:cs="Open Sans" w:eastAsia="Open Sans" w:hAnsi="Open Sans"/>
          <w:b/>
          <w:bCs/>
          <w:color w:val="006DB6"/>
          <w:sz w:val="22"/>
          <w:szCs w:val="22"/>
        </w:rPr>
        <w:t xml:space="preserve">(f) </w:t>
      </w:r>
      <w:r>
        <w:rPr>
          <w:rFonts w:ascii="Open Sans" w:cs="Open Sans" w:eastAsia="Open Sans" w:hAnsi="Open Sans"/>
          <w:color w:val="59595B"/>
          <w:sz w:val="22"/>
          <w:szCs w:val="22"/>
        </w:rPr>
        <w:t xml:space="preserve">Minimum Contracted Hours. The monthly billed hours for each role shall not fall below fifty percent (50%) of the initial contracted hours established in the Service Order for that role (the “Minimum Hours”). If actual usage drops below the Minimum Hours for three (3) or more consecutive months, Technijian may adjust the monthly billed hours down to the Minimum Hours at the start of the next Cycle, but shall not reduce below the Minimum Hours without mutual written agreement. The Minimum Hours provision ensures that Technijian can maintain dedicated staffing resources and reserved capacity for Client. If Client wishes to reduce hours below the Minimum, Client may request a Service Order amendment, subject to Technijian’s approval and a thirty (30) day notice period.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3.4 Weekly Service Reports</w:t>
            </w:r>
          </w:p>
        </w:tc>
      </w:tr>
    </w:tbl>
    <w:p>
      <w:pPr>
        <w:spacing w:after="120"/>
      </w:pPr>
      <w:r>
        <w:rPr>
          <w:rFonts w:ascii="Open Sans" w:cs="Open Sans" w:eastAsia="Open Sans" w:hAnsi="Open Sans"/>
          <w:color w:val="59595B"/>
          <w:sz w:val="22"/>
          <w:szCs w:val="22"/>
        </w:rPr>
        <w:t xml:space="preserve">Technijian shall provide Client with weekly service reports that detail:</w:t>
      </w:r>
    </w:p>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Each support ticket addressed during the period;</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The role, resource name, and hours spent per ticket;</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Whether the work was performed during normal or after-hours;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A description of the work performed; and</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The current running balance for each role.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3.5 Service Levels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Service Level</w:t>
            </w:r>
          </w:p>
        </w:tc>
        <w:tc>
          <w:tcPr>
            <w:tcW w:type="dxa" w:w="4680"/>
            <w:tcBorders>
              <w:top w:val="single" w:color="E9ECEF" w:sz="1"/>
              <w:left w:val="single" w:color="E9ECEF" w:sz="1"/>
              <w:bottom w:val="single" w:color="E9ECEF" w:sz="1"/>
              <w:right w:val="single" w:color="E9ECEF" w:sz="1"/>
            </w:tcBorders>
            <w:shd w:fill="006DB6" w:val="clear"/>
            <w:tcMar>
              <w:top w:type="dxa" w:w="80"/>
              <w:left w:type="dxa" w:w="120"/>
              <w:bottom w:type="dxa" w:w="80"/>
              <w:right w:type="dxa" w:w="120"/>
            </w:tcMar>
          </w:tcPr>
          <w:p>
            <w:r>
              <w:rPr>
                <w:rFonts w:ascii="Open Sans" w:cs="Open Sans" w:eastAsia="Open Sans" w:hAnsi="Open Sans"/>
                <w:b/>
                <w:bCs/>
                <w:color w:val="FFFFFF"/>
                <w:sz w:val="20"/>
                <w:szCs w:val="20"/>
              </w:rPr>
              <w:t xml:space="preserve">Target</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Infrastructure Uptime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99.9% monthly (excluding scheduled maintenance)</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Scheduled Maintenance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Tuesday evenings and Saturdays (with advance notice)</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Critical Incident Response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1 hour of notification</w:t>
            </w:r>
          </w:p>
        </w:tc>
      </w:tr>
      <w:tr>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Standard Support Response</w:t>
            </w:r>
          </w:p>
        </w:tc>
        <w:tc>
          <w:tcPr>
            <w:tcW w:type="dxa" w:w="4680"/>
            <w:tcBorders>
              <w:top w:val="single" w:color="E9ECEF" w:sz="1"/>
              <w:left w:val="single" w:color="E9ECEF" w:sz="1"/>
              <w:bottom w:val="single" w:color="E9ECEF" w:sz="1"/>
              <w:right w:val="single" w:color="E9ECEF" w:sz="1"/>
            </w:tcBorders>
            <w:shd w:fill="F8F9FA"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Within 4 business hours</w:t>
            </w:r>
          </w:p>
        </w:tc>
      </w:tr>
      <w:tr>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Emergency Maintenance</w:t>
            </w:r>
          </w:p>
        </w:tc>
        <w:tc>
          <w:tcPr>
            <w:tcW w:type="dxa" w:w="4680"/>
            <w:tcBorders>
              <w:top w:val="single" w:color="E9ECEF" w:sz="1"/>
              <w:left w:val="single" w:color="E9ECEF" w:sz="1"/>
              <w:bottom w:val="single" w:color="E9ECEF" w:sz="1"/>
              <w:right w:val="single" w:color="E9ECEF" w:sz="1"/>
            </w:tcBorders>
            <w:shd w:fill="FFFFFF" w:val="clear"/>
            <w:tcMar>
              <w:top w:type="dxa" w:w="80"/>
              <w:left w:type="dxa" w:w="120"/>
              <w:bottom w:type="dxa" w:w="80"/>
              <w:right w:type="dxa" w:w="120"/>
            </w:tcMar>
          </w:tcPr>
          <w:p>
            <w:r>
              <w:rPr>
                <w:rFonts w:ascii="Open Sans" w:cs="Open Sans" w:eastAsia="Open Sans" w:hAnsi="Open Sans"/>
                <w:b w:val="false"/>
                <w:bCs w:val="false"/>
                <w:color w:val="59595B"/>
                <w:sz w:val="20"/>
                <w:szCs w:val="20"/>
              </w:rPr>
              <w:t xml:space="preserve">As needed with reasonable notice</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3.5a Service Level Remedies</w:t>
            </w:r>
          </w:p>
        </w:tc>
      </w:tr>
    </w:tbl>
    <w:p>
      <w:pPr>
        <w:spacing w:after="60"/>
      </w:pPr>
      <w:r>
        <w:rPr>
          <w:rFonts w:ascii="Open Sans" w:cs="Open Sans" w:eastAsia="Open Sans" w:hAnsi="Open Sans"/>
          <w:b/>
          <w:bCs/>
          <w:color w:val="006DB6"/>
          <w:sz w:val="22"/>
          <w:szCs w:val="22"/>
        </w:rPr>
        <w:t xml:space="preserve">(a) </w:t>
      </w:r>
      <w:r>
        <w:rPr>
          <w:rFonts w:ascii="Open Sans" w:cs="Open Sans" w:eastAsia="Open Sans" w:hAnsi="Open Sans"/>
          <w:color w:val="59595B"/>
          <w:sz w:val="22"/>
          <w:szCs w:val="22"/>
        </w:rPr>
        <w:t xml:space="preserve">Service Credits. If Technijian fails to meet the Infrastructure Uptime target of 99.9% in any calendar month, Client shall be entitled to a service credit equal to 5% of the monthly recurring charges for the affected service for each full 0.1% below the target, up to a maximum credit of 25% of the monthly recurring charges for that service.</w:t>
      </w:r>
    </w:p>
    <w:p>
      <w:pPr>
        <w:spacing w:after="60"/>
      </w:pPr>
      <w:r>
        <w:rPr>
          <w:rFonts w:ascii="Open Sans" w:cs="Open Sans" w:eastAsia="Open Sans" w:hAnsi="Open Sans"/>
          <w:b/>
          <w:bCs/>
          <w:color w:val="006DB6"/>
          <w:sz w:val="22"/>
          <w:szCs w:val="22"/>
        </w:rPr>
        <w:t xml:space="preserve">(b) </w:t>
      </w:r>
      <w:r>
        <w:rPr>
          <w:rFonts w:ascii="Open Sans" w:cs="Open Sans" w:eastAsia="Open Sans" w:hAnsi="Open Sans"/>
          <w:color w:val="59595B"/>
          <w:sz w:val="22"/>
          <w:szCs w:val="22"/>
        </w:rPr>
        <w:t xml:space="preserve">Chronic Failure. If Technijian fails to meet the Infrastructure Uptime target for three (3) or more consecutive months, Client shall have the right to terminate the affected service without penalty upon thirty (30) days written notice.</w:t>
      </w:r>
    </w:p>
    <w:p>
      <w:pPr>
        <w:spacing w:after="60"/>
      </w:pPr>
      <w:r>
        <w:rPr>
          <w:rFonts w:ascii="Open Sans" w:cs="Open Sans" w:eastAsia="Open Sans" w:hAnsi="Open Sans"/>
          <w:b/>
          <w:bCs/>
          <w:color w:val="006DB6"/>
          <w:sz w:val="22"/>
          <w:szCs w:val="22"/>
        </w:rPr>
        <w:t xml:space="preserve">(c) </w:t>
      </w:r>
      <w:r>
        <w:rPr>
          <w:rFonts w:ascii="Open Sans" w:cs="Open Sans" w:eastAsia="Open Sans" w:hAnsi="Open Sans"/>
          <w:color w:val="59595B"/>
          <w:sz w:val="22"/>
          <w:szCs w:val="22"/>
        </w:rPr>
        <w:t xml:space="preserve">Credit Requests. To receive a service credit, Client must submit a written request within thirty (30) days of the end of the affected month. Service credits shall be applied against future invoices and shall not be paid as cash refunds.</w:t>
      </w:r>
    </w:p>
    <w:p>
      <w:pPr>
        <w:spacing w:after="60"/>
      </w:pPr>
      <w:r>
        <w:rPr>
          <w:rFonts w:ascii="Open Sans" w:cs="Open Sans" w:eastAsia="Open Sans" w:hAnsi="Open Sans"/>
          <w:b/>
          <w:bCs/>
          <w:color w:val="006DB6"/>
          <w:sz w:val="22"/>
          <w:szCs w:val="22"/>
        </w:rPr>
        <w:t xml:space="preserve">(d) </w:t>
      </w:r>
      <w:r>
        <w:rPr>
          <w:rFonts w:ascii="Open Sans" w:cs="Open Sans" w:eastAsia="Open Sans" w:hAnsi="Open Sans"/>
          <w:color w:val="59595B"/>
          <w:sz w:val="22"/>
          <w:szCs w:val="22"/>
        </w:rPr>
        <w:t xml:space="preserve">Exclusions. Service level targets and remedies do not apply during scheduled maintenance windows, force majeure events, or outages caused by Client’s actions, third-party services not managed by Technijian, or factors outside Technijian’s reasonable control.</w:t>
      </w:r>
    </w:p>
    <w:p>
      <w:pPr>
        <w:spacing w:after="60"/>
      </w:pPr>
      <w:r>
        <w:rPr>
          <w:rFonts w:ascii="Open Sans" w:cs="Open Sans" w:eastAsia="Open Sans" w:hAnsi="Open Sans"/>
          <w:b/>
          <w:bCs/>
          <w:color w:val="006DB6"/>
          <w:sz w:val="22"/>
          <w:szCs w:val="22"/>
        </w:rPr>
        <w:t xml:space="preserve">(e) </w:t>
      </w:r>
      <w:r>
        <w:rPr>
          <w:rFonts w:ascii="Open Sans" w:cs="Open Sans" w:eastAsia="Open Sans" w:hAnsi="Open Sans"/>
          <w:color w:val="59595B"/>
          <w:sz w:val="22"/>
          <w:szCs w:val="22"/>
        </w:rPr>
        <w:t xml:space="preserve">Sole Remedy. Service credits under this Section are Client’s sole and exclusive remedy for Technijian’s failure to meet the applicable service levels.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A1A2E" w:val="clear"/>
            <w:tcMar>
              <w:top w:type="dxa" w:w="120"/>
              <w:left w:type="dxa" w:w="200"/>
              <w:bottom w:type="dxa" w:w="120"/>
              <w:right w:type="dxa" w:w="200"/>
            </w:tcMar>
          </w:tcPr>
          <w:p>
            <w:pPr>
              <w:jc w:val="center"/>
            </w:pPr>
            <w:r>
              <w:rPr>
                <w:rFonts w:ascii="Open Sans" w:cs="Open Sans" w:eastAsia="Open Sans" w:hAnsi="Open Sans"/>
                <w:b/>
                <w:bCs/>
                <w:color w:val="FFFFFF"/>
                <w:sz w:val="24"/>
                <w:szCs w:val="24"/>
              </w:rPr>
              <w:t xml:space="preserve">GENERAL TERMS FOR THIS SCHEDULE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Payment and Collection</w:t>
            </w:r>
          </w:p>
        </w:tc>
      </w:tr>
    </w:tbl>
    <w:p>
      <w:pPr>
        <w:spacing w:after="120"/>
      </w:pPr>
      <w:r>
        <w:rPr>
          <w:rFonts w:ascii="Open Sans" w:cs="Open Sans" w:eastAsia="Open Sans" w:hAnsi="Open Sans"/>
          <w:color w:val="59595B"/>
          <w:sz w:val="22"/>
          <w:szCs w:val="22"/>
        </w:rPr>
        <w:t xml:space="preserve">All payment terms, late fees, dispute procedures, and collection remedies for invoices arising under this Schedule are governed by Section 3 of the Master Service Agreement.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Changes to Services</w:t>
            </w:r>
          </w:p>
        </w:tc>
      </w:tr>
    </w:tbl>
    <w:p>
      <w:pPr>
        <w:spacing w:after="120"/>
      </w:pPr>
      <w:r>
        <w:rPr>
          <w:rFonts w:ascii="Open Sans" w:cs="Open Sans" w:eastAsia="Open Sans" w:hAnsi="Open Sans"/>
          <w:color w:val="59595B"/>
          <w:sz w:val="22"/>
          <w:szCs w:val="22"/>
        </w:rPr>
        <w:t xml:space="preserve">Either Party may request changes to the services described in this Schedule by providing thirty (30) days written notice. Changes to quantities, roles, or service levels shall be documented in an updated Service Order signed by both Parties.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06DB6" w:val="clear"/>
          </w:tcPr>
          <w:p/>
        </w:tc>
        <w:tc>
          <w:tcPr>
            <w:tcW w:type="dxa" w:w="9240"/>
            <w:tcBorders>
              <w:top w:val="none"/>
              <w:left w:val="none"/>
              <w:bottom w:val="none"/>
              <w:right w:val="none"/>
            </w:tcBorders>
            <w:tcMar>
              <w:top w:type="dxa" w:w="80"/>
              <w:left w:type="dxa" w:w="160"/>
              <w:bottom w:type="dxa" w:w="80"/>
              <w:right w:type="dxa" w:w="0"/>
            </w:tcMar>
          </w:tcPr>
          <w:p>
            <w:r>
              <w:rPr>
                <w:rFonts w:ascii="Open Sans" w:cs="Open Sans" w:eastAsia="Open Sans" w:hAnsi="Open Sans"/>
                <w:b/>
                <w:bCs/>
                <w:color w:val="006DB6"/>
                <w:sz w:val="28"/>
                <w:szCs w:val="28"/>
              </w:rPr>
              <w:t xml:space="preserve">Pricing Adjustments</w:t>
            </w:r>
          </w:p>
        </w:tc>
      </w:tr>
    </w:tbl>
    <w:p>
      <w:pPr>
        <w:spacing w:after="120"/>
      </w:pPr>
      <w:r>
        <w:rPr>
          <w:rFonts w:ascii="Open Sans" w:cs="Open Sans" w:eastAsia="Open Sans" w:hAnsi="Open Sans"/>
          <w:color w:val="59595B"/>
          <w:sz w:val="22"/>
          <w:szCs w:val="22"/>
        </w:rPr>
        <w:t xml:space="preserve">Pricing for services under this Schedule is subject to the Rate Card (Schedule C). Technijian may adjust rates upon sixty (60) days written notice, effective at the start of the next Renewal Term of the Agreement.</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2026-04-09T15:10:14.610Z</dcterms:created>
  <dcterms:modified xsi:type="dcterms:W3CDTF">2026-04-09T15:10:14.623Z</dcterms:modified>
</cp:coreProperties>
</file>

<file path=docProps/custom.xml><?xml version="1.0" encoding="utf-8"?>
<Properties xmlns="http://schemas.openxmlformats.org/officeDocument/2006/custom-properties" xmlns:vt="http://schemas.openxmlformats.org/officeDocument/2006/docPropsVTypes"/>
</file>