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Schedule B</w:t>
      </w:r>
    </w:p>
    <w:p>
      <w:pPr>
        <w:spacing w:before="200"/>
        <w:jc w:val="center"/>
      </w:pPr>
      <w:r>
        <w:rPr>
          <w:rFonts w:ascii="Open Sans" w:cs="Open Sans" w:eastAsia="Open Sans" w:hAnsi="Open Sans"/>
          <w:color w:val="59595B"/>
          <w:sz w:val="26"/>
          <w:szCs w:val="26"/>
        </w:rPr>
        <w:t xml:space="preserve">Subscription and License Services
Attached to MSA-BWH</w:t>
      </w:r>
    </w:p>
    <w:p>
      <w:pPr>
        <w:spacing w:before="100"/>
        <w:jc w:val="center"/>
      </w:pPr>
      <w:r>
        <w:rPr>
          <w:rFonts w:ascii="Open Sans" w:cs="Open Sans" w:eastAsia="Open Sans" w:hAnsi="Open Sans"/>
          <w:color w:val="59595B"/>
          <w:sz w:val="22"/>
          <w:szCs w:val="22"/>
        </w:rPr>
        <w:t xml:space="preserve">May 1,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B — SUBSCRIPTION AND LICENSE SERVICES</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after="120"/>
      </w:pPr>
      <w:r>
        <w:rPr>
          <w:rFonts w:ascii="Open Sans" w:cs="Open Sans" w:eastAsia="Open Sans" w:hAnsi="Open Sans"/>
          <w:color w:val="59595B"/>
          <w:sz w:val="22"/>
          <w:szCs w:val="22"/>
        </w:rPr>
        <w:t xml:space="preserve">This Schedule describes the Subscription and License Services provided by Technijian, Inc. (“Technijian”) to Brandywine Homes (“Client”) under the Master Service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Current Subscriptions Billed Through Technijian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Microsoft Entra ID P1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MS-ADP1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$7.20/user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$7.20</w:t>
            </w:r>
          </w:p>
        </w:tc>
      </w:tr>
    </w:tbl>
    <w:p>
      <w:pPr>
        <w:spacing w:before="200"/>
      </w:pPr>
    </w:p>
    <w:p>
      <w:pPr>
        <w:spacing w:after="120"/>
      </w:pPr>
      <w:r>
        <w:rPr>
          <w:rFonts w:ascii="Open Sans" w:cs="Open Sans" w:eastAsia="Open Sans" w:hAnsi="Open Sans"/>
          <w:color w:val="59595B"/>
          <w:sz w:val="22"/>
          <w:szCs w:val="22"/>
        </w:rPr>
        <w:t xml:space="preserve">Note: Other subscriptions (Microsoft 365, etc.) are billed directly by the vendor and are not included in Technijian invoices. If Client elects to procure additional subscriptions through Technijian, they will be added to this Schedule via an updated Service Order.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Subscription Terms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Subscriptions are billed monthly in advance per MSA Section 3.02(b).</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Quantity changes require thirty (30) days written notice and take effect on the first day of the following month.</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Annual subscriptions procured on Client’s behalf are non-refundable for the committed term.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Open Sans" w:cs="Open Sans" w:eastAsia="Open Sans" w:hAnsi="Open Sans"/>
                <w:b/>
                <w:bCs/>
                <w:color w:val="1A1A2E"/>
                <w:sz w:val="22"/>
                <w:szCs w:val="22"/>
              </w:rPr>
              <w:t xml:space="preserve">AUTOMATIC RENEWAL DISCLOSURE:</w:t>
            </w:r>
            <w:r>
              <w:rPr>
                <w:rFonts w:ascii="Open Sans" w:cs="Open Sans" w:eastAsia="Open Sans" w:hAnsi="Open Sans"/>
                <w:sz w:val="8"/>
                <w:szCs w:val="8"/>
              </w:rPr>
              <w:t xml:space="preserve">
</w:t>
            </w:r>
            <w:r>
              <w:rPr>
                <w:rFonts w:ascii="Open Sans" w:cs="Open Sans" w:eastAsia="Open Sans" w:hAnsi="Open Sans"/>
                <w:color w:val="59595B"/>
                <w:sz w:val="20"/>
                <w:szCs w:val="20"/>
              </w:rPr>
              <w:t xml:space="preserve">Subscriptions procured through Technijian on Client’s behalf will renew automatically at the then-current rates unless Client provides thirty (30) days written notice of cancellation prior to the renewal date. Technijian will notify Client of any rate changes at least sixty (60) days before the next renewal.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Data and Access</w:t>
            </w:r>
          </w:p>
        </w:tc>
      </w:tr>
    </w:tbl>
    <w:p>
      <w:pPr>
        <w:spacing w:after="120"/>
      </w:pPr>
      <w:r>
        <w:rPr>
          <w:rFonts w:ascii="Open Sans" w:cs="Open Sans" w:eastAsia="Open Sans" w:hAnsi="Open Sans"/>
          <w:color w:val="59595B"/>
          <w:sz w:val="22"/>
          <w:szCs w:val="22"/>
        </w:rPr>
        <w:t xml:space="preserve">Upon termination of any subscription service, Technijian shall cooperate with Client to ensure orderly transition of subscription data, including:</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Providing Client with access to export subscription data prior to cancellation, where supported by the vendor;</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Coordinating with the subscription vendor for license transfers, where applicable; and</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Notifying Client of any data retention windows imposed by the vendor.</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2026-04-09T15:10:15.179Z</dcterms:created>
  <dcterms:modified xsi:type="dcterms:W3CDTF">2026-04-09T15:10:15.181Z</dcterms:modified>
</cp:coreProperties>
</file>

<file path=docProps/custom.xml><?xml version="1.0" encoding="utf-8"?>
<Properties xmlns="http://schemas.openxmlformats.org/officeDocument/2006/custom-properties" xmlns:vt="http://schemas.openxmlformats.org/officeDocument/2006/docPropsVTypes"/>
</file>