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88" w:lineRule="auto"/>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_technijian-logo.png"/>
                    <pic:cNvPicPr/>
                  </pic:nvPicPr>
                  <pic:blipFill>
                    <a:blip r:embed="rId9"/>
                    <a:stretch>
                      <a:fillRect/>
                    </a:stretch>
                  </pic:blipFill>
                  <pic:spPr>
                    <a:xfrm>
                      <a:off x="0" y="0"/>
                      <a:ext cx="2377440" cy="495300"/>
                    </a:xfrm>
                    <a:prstGeom prst="rect"/>
                  </pic:spPr>
                </pic:pic>
              </a:graphicData>
            </a:graphic>
          </wp:inline>
        </w:drawing>
      </w:r>
    </w:p>
    <w:p>
      <w:pPr>
        <w:spacing w:after="80" w:line="288" w:lineRule="auto"/>
        <w:jc w:val="center"/>
      </w:pPr>
      <w:r>
        <w:rPr>
          <w:rFonts w:ascii="Open Sans" w:hAnsi="Open Sans" w:cs="Open Sans"/>
          <w:b/>
          <w:i w:val="0"/>
          <w:color w:val="006DB6"/>
          <w:sz w:val="44"/>
        </w:rPr>
        <w:t>SCHEDULE A</w:t>
      </w:r>
    </w:p>
    <w:p>
      <w:pPr>
        <w:spacing w:after="80" w:line="288" w:lineRule="auto"/>
        <w:jc w:val="center"/>
      </w:pPr>
      <w:r>
        <w:rPr>
          <w:rFonts w:ascii="Open Sans" w:hAnsi="Open Sans" w:cs="Open Sans"/>
          <w:b/>
          <w:i w:val="0"/>
          <w:color w:val="1A1A2E"/>
          <w:sz w:val="28"/>
        </w:rPr>
        <w:t>Monthly Managed Services</w:t>
      </w:r>
    </w:p>
    <w:p>
      <w:pPr>
        <w:spacing w:after="240" w:line="288" w:lineRule="auto"/>
        <w:jc w:val="center"/>
      </w:pPr>
      <w:r>
        <w:rPr>
          <w:rFonts w:ascii="Open Sans" w:hAnsi="Open Sans" w:cs="Open Sans"/>
          <w:b w:val="0"/>
          <w:i/>
          <w:color w:val="59595B"/>
          <w:sz w:val="22"/>
        </w:rPr>
        <w:t>Attached to Master Service Agreement MSA-TALY-2026</w:t>
      </w:r>
    </w:p>
    <w:tbl>
      <w:tblPr>
        <w:tblW w:type="auto" w:w="0"/>
        <w:tblLook w:firstColumn="1" w:firstRow="1" w:lastColumn="0" w:lastRow="0" w:noHBand="0" w:noVBand="1" w:val="04A0"/>
      </w:tblPr>
      <w:tblGrid>
        <w:gridCol w:w="9648"/>
      </w:tblGrid>
      <w:tr>
        <w:tc>
          <w:tcPr>
            <w:tcW w:type="dxa" w:w="9648"/>
            <w:shd w:fill="F67D4B" w:val="clear"/>
            <w:tcW w:w="9000" w:type="dxa"/>
          </w:tcPr>
          <w:p>
            <w:pPr>
              <w:spacing w:before="0" w:after="0" w:line="240" w:lineRule="auto"/>
            </w:pPr>
            <w:r/>
          </w:p>
        </w:tc>
      </w:tr>
    </w:tbl>
    <w:p>
      <w:pPr>
        <w:spacing w:after="120" w:line="288" w:lineRule="auto"/>
      </w:pPr>
    </w:p>
    <w:p>
      <w:pPr>
        <w:spacing w:after="80" w:line="288" w:lineRule="auto"/>
      </w:pPr>
      <w:r>
        <w:rPr>
          <w:rFonts w:ascii="Open Sans" w:hAnsi="Open Sans" w:cs="Open Sans"/>
          <w:b/>
          <w:i w:val="0"/>
          <w:color w:val="1A1A2E"/>
          <w:sz w:val="20"/>
        </w:rPr>
        <w:t>Attached to Master Service Agreement MSA-TALY-2026</w:t>
      </w:r>
      <w:r>
        <w:rPr>
          <w:rFonts w:ascii="Open Sans" w:hAnsi="Open Sans" w:cs="Open Sans"/>
          <w:b w:val="0"/>
          <w:i w:val="0"/>
          <w:color w:val="59595B"/>
          <w:sz w:val="20"/>
        </w:rPr>
        <w:t xml:space="preserve"> </w:t>
      </w:r>
      <w:r>
        <w:rPr>
          <w:rFonts w:ascii="Open Sans" w:hAnsi="Open Sans" w:cs="Open Sans"/>
          <w:b/>
          <w:i w:val="0"/>
          <w:color w:val="1A1A2E"/>
          <w:sz w:val="20"/>
        </w:rPr>
        <w:t>Effective Date:</w:t>
      </w:r>
      <w:r>
        <w:rPr>
          <w:rFonts w:ascii="Open Sans" w:hAnsi="Open Sans" w:cs="Open Sans"/>
          <w:b w:val="0"/>
          <w:i w:val="0"/>
          <w:color w:val="59595B"/>
          <w:sz w:val="20"/>
        </w:rPr>
        <w:t xml:space="preserv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val="0"/>
          <w:color w:val="59595B"/>
          <w:sz w:val="20"/>
        </w:rPr>
        <w:t xml:space="preserve"> 2026</w:t>
      </w:r>
    </w:p>
    <w:p>
      <w:pPr>
        <w:spacing w:after="80" w:line="288" w:lineRule="auto"/>
      </w:pPr>
      <w:r>
        <w:rPr>
          <w:rFonts w:ascii="Open Sans" w:hAnsi="Open Sans" w:cs="Open Sans"/>
          <w:b w:val="0"/>
          <w:i w:val="0"/>
          <w:color w:val="59595B"/>
          <w:sz w:val="20"/>
        </w:rPr>
        <w:t xml:space="preserve">This Schedule describes the Monthly Managed Services provided by Technijian, Inc. ("Technijian") to </w:t>
      </w:r>
      <w:r>
        <w:rPr>
          <w:rFonts w:ascii="Open Sans" w:hAnsi="Open Sans" w:cs="Open Sans"/>
          <w:b/>
          <w:i w:val="0"/>
          <w:color w:val="1A1A2E"/>
          <w:sz w:val="20"/>
        </w:rPr>
        <w:t>Talley &amp; Associates</w:t>
      </w:r>
      <w:r>
        <w:rPr>
          <w:rFonts w:ascii="Open Sans" w:hAnsi="Open Sans" w:cs="Open Sans"/>
          <w:b w:val="0"/>
          <w:i w:val="0"/>
          <w:color w:val="59595B"/>
          <w:sz w:val="20"/>
        </w:rPr>
        <w:t xml:space="preserve"> ("Client") under the Master Service Agreement.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PART 1 — ONLINE SERVICES</w:t>
      </w:r>
    </w:p>
    <w:p>
      <w:pPr>
        <w:spacing w:after="120" w:line="288" w:lineRule="auto" w:before="200"/>
      </w:pPr>
      <w:r>
        <w:rPr>
          <w:rFonts w:ascii="Open Sans" w:hAnsi="Open Sans" w:cs="Open Sans"/>
          <w:b/>
          <w:i w:val="0"/>
          <w:color w:val="1A1A2E"/>
          <w:sz w:val="28"/>
        </w:rPr>
        <w:t>1.1 Description</w:t>
      </w:r>
    </w:p>
    <w:p>
      <w:pPr>
        <w:spacing w:after="80" w:line="288" w:lineRule="auto"/>
      </w:pPr>
      <w:r>
        <w:rPr>
          <w:rFonts w:ascii="Open Sans" w:hAnsi="Open Sans" w:cs="Open Sans"/>
          <w:b w:val="0"/>
          <w:i w:val="0"/>
          <w:color w:val="59595B"/>
          <w:sz w:val="20"/>
        </w:rPr>
        <w:t>Online Services include managed infrastructure, security, monitoring, and related IT services delivered on a recurring monthly basis. Services are selected from the Rate Card (Schedule C) and itemized in the Service Order in Section 4 of this Schedule.</w:t>
      </w:r>
    </w:p>
    <w:p>
      <w:pPr>
        <w:spacing w:after="120" w:line="288" w:lineRule="auto" w:before="200"/>
      </w:pPr>
      <w:r>
        <w:rPr>
          <w:rFonts w:ascii="Open Sans" w:hAnsi="Open Sans" w:cs="Open Sans"/>
          <w:b/>
          <w:i w:val="0"/>
          <w:color w:val="1A1A2E"/>
          <w:sz w:val="28"/>
        </w:rPr>
        <w:t>1.2 Service Categories</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Category</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Description</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Cloud Infrastructure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Virtual machines, production/replicated/backup storage</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Server Management</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Patch management, image backup, antivirus, remote access, secure internet, network operations</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Desktop Management</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Patch management, antivirus, remote access, secure internet, network operations</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Network &amp; Security</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Firewall appliances (Sophos), SD-WAN (VeloCloud), edge appliances</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Email &amp; Compliance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Email archiving, DMARC/DKIM management</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Backup &amp; Recovery</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Veeam 365 backup, replicated and backup storage</w:t>
            </w:r>
          </w:p>
        </w:tc>
      </w:tr>
    </w:tbl>
    <w:p>
      <w:pPr>
        <w:spacing w:after="80" w:line="288" w:lineRule="auto"/>
      </w:pPr>
    </w:p>
    <w:p>
      <w:pPr>
        <w:spacing w:after="120" w:line="288" w:lineRule="auto" w:before="200"/>
      </w:pPr>
      <w:r>
        <w:rPr>
          <w:rFonts w:ascii="Open Sans" w:hAnsi="Open Sans" w:cs="Open Sans"/>
          <w:b/>
          <w:i w:val="0"/>
          <w:color w:val="1A1A2E"/>
          <w:sz w:val="28"/>
        </w:rPr>
        <w:t>1.3 Service Levels</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 Level</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Target</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Infrastructure Uptime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99.9% monthly (excluding scheduled maintenance)</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Scheduled Maintenance</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Tuesday evenings and Saturdays (with advance notice), not to exceed 8 hours per month</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Critical Incident Response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Within 1 hour of notification</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Standard Support Response</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Within 4 business hours</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Emergency Maintenance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 needed with reasonable notice</w:t>
            </w:r>
          </w:p>
        </w:tc>
      </w:tr>
    </w:tbl>
    <w:p>
      <w:pPr>
        <w:spacing w:after="80" w:line="288" w:lineRule="auto"/>
      </w:pPr>
    </w:p>
    <w:p>
      <w:pPr>
        <w:spacing w:after="120" w:line="288" w:lineRule="auto" w:before="200"/>
      </w:pPr>
      <w:r>
        <w:rPr>
          <w:rFonts w:ascii="Open Sans" w:hAnsi="Open Sans" w:cs="Open Sans"/>
          <w:b/>
          <w:i w:val="0"/>
          <w:color w:val="1A1A2E"/>
          <w:sz w:val="28"/>
        </w:rPr>
        <w:t>1.4 Service Credits</w:t>
      </w:r>
    </w:p>
    <w:p>
      <w:pPr>
        <w:spacing w:after="80" w:line="288" w:lineRule="auto"/>
      </w:pPr>
      <w:r>
        <w:rPr>
          <w:rFonts w:ascii="Open Sans" w:hAnsi="Open Sans" w:cs="Open Sans"/>
          <w:b/>
          <w:i w:val="0"/>
          <w:color w:val="1A1A2E"/>
          <w:sz w:val="20"/>
        </w:rPr>
        <w:t>(a) Measurement.</w:t>
      </w:r>
      <w:r>
        <w:rPr>
          <w:rFonts w:ascii="Open Sans" w:hAnsi="Open Sans" w:cs="Open Sans"/>
          <w:b w:val="0"/>
          <w:i w:val="0"/>
          <w:color w:val="59595B"/>
          <w:sz w:val="20"/>
        </w:rPr>
        <w:t xml:space="preserve"> Infrastructure Uptime is measured monthly as the percentage of total minutes in the calendar month during which the affected Online Service is operational and accessible by Client, as recorded by Technijian's monitoring system. Raw measurement data and the monthly uptime calculation shall be available to Client upon written request. The unit of measurement is per Online Service (per VM, per managed device, per network appliance) as specified in the Service Order; uptime is not aggregated across Online Services.</w:t>
      </w:r>
    </w:p>
    <w:p>
      <w:pPr>
        <w:spacing w:after="80" w:line="288" w:lineRule="auto"/>
      </w:pPr>
      <w:r>
        <w:rPr>
          <w:rFonts w:ascii="Open Sans" w:hAnsi="Open Sans" w:cs="Open Sans"/>
          <w:b/>
          <w:i w:val="0"/>
          <w:color w:val="1A1A2E"/>
          <w:sz w:val="20"/>
        </w:rPr>
        <w:t>(b) Credit Schedule.</w:t>
      </w:r>
      <w:r>
        <w:rPr>
          <w:rFonts w:ascii="Open Sans" w:hAnsi="Open Sans" w:cs="Open Sans"/>
          <w:b w:val="0"/>
          <w:i w:val="0"/>
          <w:color w:val="59595B"/>
          <w:sz w:val="20"/>
        </w:rPr>
        <w:t xml:space="preserve"> If Technijian fails to meet the 99.9% Infrastructure Uptime target in any calendar month for a particular Online Service (subject to the exclusions in subsection (c) below), Client shall be entitled to a service credit calculated against the </w:t>
      </w:r>
      <w:r>
        <w:rPr>
          <w:rFonts w:ascii="Open Sans" w:hAnsi="Open Sans" w:cs="Open Sans"/>
          <w:b/>
          <w:i w:val="0"/>
          <w:color w:val="1A1A2E"/>
          <w:sz w:val="20"/>
        </w:rPr>
        <w:t>monthly recurring fee for the affected Online Service only</w:t>
      </w:r>
      <w:r>
        <w:rPr>
          <w:rFonts w:ascii="Open Sans" w:hAnsi="Open Sans" w:cs="Open Sans"/>
          <w:b w:val="0"/>
          <w:i w:val="0"/>
          <w:color w:val="59595B"/>
          <w:sz w:val="20"/>
        </w:rPr>
        <w:t>, as follows:</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Uptime (Affected Service)</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 Credit (% of Affected Service's Monthly Fee)</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99.0% – 99.89%</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98.0% – 98.99%</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10%</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95.0% – 97.99%</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Below 95.0%</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w:t>
            </w:r>
          </w:p>
        </w:tc>
      </w:tr>
    </w:tbl>
    <w:p>
      <w:pPr>
        <w:spacing w:after="80" w:line="288" w:lineRule="auto"/>
      </w:pPr>
    </w:p>
    <w:p>
      <w:pPr>
        <w:spacing w:after="80" w:line="288" w:lineRule="auto"/>
      </w:pPr>
      <w:r>
        <w:rPr>
          <w:rFonts w:ascii="Open Sans" w:hAnsi="Open Sans" w:cs="Open Sans"/>
          <w:b/>
          <w:i w:val="0"/>
          <w:color w:val="1A1A2E"/>
          <w:sz w:val="20"/>
        </w:rPr>
        <w:t>(c) Exclusions.</w:t>
      </w:r>
      <w:r>
        <w:rPr>
          <w:rFonts w:ascii="Open Sans" w:hAnsi="Open Sans" w:cs="Open Sans"/>
          <w:b w:val="0"/>
          <w:i w:val="0"/>
          <w:color w:val="59595B"/>
          <w:sz w:val="20"/>
        </w:rPr>
        <w:t xml:space="preserve"> Excluded from the uptime calculation: (i) scheduled maintenance windows under Section 1.3; (ii) emergency maintenance with reasonable advance notice; (iii) downtime caused by Client's acts or omissions; (iv) downtime caused by Client-provided or Client-procured hardware, software, or services not under Technijian's management; (v) downtime caused by failures of third-party services outside Technijian's reasonable control; (vi) Force Majeure Events under MSA Section 9.06; (vii) any period during which Client's services are suspended for non-payment under MSA Section 3.06; and (viii) downtime resulting from Client's refusal to permit a remediation action recommended by Technijian.</w:t>
      </w:r>
    </w:p>
    <w:p>
      <w:pPr>
        <w:spacing w:after="80" w:line="288" w:lineRule="auto"/>
      </w:pPr>
      <w:r>
        <w:rPr>
          <w:rFonts w:ascii="Open Sans" w:hAnsi="Open Sans" w:cs="Open Sans"/>
          <w:b/>
          <w:i w:val="0"/>
          <w:color w:val="1A1A2E"/>
          <w:sz w:val="20"/>
        </w:rPr>
        <w:t>(d) Claim Procedure.</w:t>
      </w:r>
      <w:r>
        <w:rPr>
          <w:rFonts w:ascii="Open Sans" w:hAnsi="Open Sans" w:cs="Open Sans"/>
          <w:b w:val="0"/>
          <w:i w:val="0"/>
          <w:color w:val="59595B"/>
          <w:sz w:val="20"/>
        </w:rPr>
        <w:t xml:space="preserve"> Client must request service credits in writing to contracts@technijian.com within </w:t>
      </w:r>
      <w:r>
        <w:rPr>
          <w:rFonts w:ascii="Open Sans" w:hAnsi="Open Sans" w:cs="Open Sans"/>
          <w:b/>
          <w:i w:val="0"/>
          <w:color w:val="1A1A2E"/>
          <w:sz w:val="20"/>
        </w:rPr>
        <w:t>fifteen (15) days</w:t>
      </w:r>
      <w:r>
        <w:rPr>
          <w:rFonts w:ascii="Open Sans" w:hAnsi="Open Sans" w:cs="Open Sans"/>
          <w:b w:val="0"/>
          <w:i w:val="0"/>
          <w:color w:val="59595B"/>
          <w:sz w:val="20"/>
        </w:rPr>
        <w:t xml:space="preserve"> of the end of the affected month, identifying the affected Online Service, the dates and times of the alleged downtime, and any supporting evidence. Technijian will validate the claim against monitoring data and apply approved credits to the next monthly invoice within thirty (30) days.</w:t>
      </w:r>
    </w:p>
    <w:p>
      <w:pPr>
        <w:spacing w:after="80" w:line="288" w:lineRule="auto"/>
      </w:pPr>
      <w:r>
        <w:rPr>
          <w:rFonts w:ascii="Open Sans" w:hAnsi="Open Sans" w:cs="Open Sans"/>
          <w:b/>
          <w:i w:val="0"/>
          <w:color w:val="1A1A2E"/>
          <w:sz w:val="20"/>
        </w:rPr>
        <w:t>(e) Cap and Sole Remedy.</w:t>
      </w:r>
      <w:r>
        <w:rPr>
          <w:rFonts w:ascii="Open Sans" w:hAnsi="Open Sans" w:cs="Open Sans"/>
          <w:b w:val="0"/>
          <w:i w:val="0"/>
          <w:color w:val="59595B"/>
          <w:sz w:val="20"/>
        </w:rPr>
        <w:t xml:space="preserve"> The aggregate service credits payable under this Section in any single calendar month shall not exceed thirty percent (30%) of the affected Online Service's monthly recurring fee. Service credits are Client's sole and exclusive remedy for failure to meet the uptime target. Nothing in this Section limits Client's remedies under the MSA for Technijian's gross negligence, willful misconduct, or breach of data protection obligations under MSA Section 10.</w:t>
      </w:r>
    </w:p>
    <w:p>
      <w:pPr>
        <w:spacing w:after="120" w:line="288" w:lineRule="auto" w:before="200"/>
      </w:pPr>
      <w:r>
        <w:rPr>
          <w:rFonts w:ascii="Open Sans" w:hAnsi="Open Sans" w:cs="Open Sans"/>
          <w:b/>
          <w:i w:val="0"/>
          <w:color w:val="1A1A2E"/>
          <w:sz w:val="28"/>
        </w:rPr>
        <w:t>1.5 Monitoring and Reporting</w:t>
      </w:r>
    </w:p>
    <w:p>
      <w:pPr>
        <w:spacing w:after="80" w:line="288" w:lineRule="auto"/>
      </w:pPr>
      <w:r>
        <w:rPr>
          <w:rFonts w:ascii="Open Sans" w:hAnsi="Open Sans" w:cs="Open Sans"/>
          <w:b w:val="0"/>
          <w:i w:val="0"/>
          <w:color w:val="59595B"/>
          <w:sz w:val="20"/>
        </w:rPr>
        <w:t>Technijian shall provide:</w:t>
      </w:r>
    </w:p>
    <w:p>
      <w:pPr>
        <w:spacing w:after="80" w:line="288" w:lineRule="auto"/>
      </w:pPr>
      <w:r>
        <w:rPr>
          <w:rFonts w:ascii="Open Sans" w:hAnsi="Open Sans" w:cs="Open Sans"/>
          <w:b w:val="0"/>
          <w:i w:val="0"/>
          <w:color w:val="59595B"/>
          <w:sz w:val="20"/>
        </w:rPr>
        <w:t>(a) 24/7 monitoring of Client's infrastructure included in the Service Order;</w:t>
      </w:r>
    </w:p>
    <w:p>
      <w:pPr>
        <w:spacing w:after="80" w:line="288" w:lineRule="auto"/>
      </w:pPr>
      <w:r>
        <w:rPr>
          <w:rFonts w:ascii="Open Sans" w:hAnsi="Open Sans" w:cs="Open Sans"/>
          <w:b w:val="0"/>
          <w:i w:val="0"/>
          <w:color w:val="59595B"/>
          <w:sz w:val="20"/>
        </w:rPr>
        <w:t>(b) Monthly service reports summarizing uptime, incidents, and support activity; and</w:t>
      </w:r>
    </w:p>
    <w:p>
      <w:pPr>
        <w:spacing w:after="80" w:line="288" w:lineRule="auto"/>
      </w:pPr>
      <w:r>
        <w:rPr>
          <w:rFonts w:ascii="Open Sans" w:hAnsi="Open Sans" w:cs="Open Sans"/>
          <w:b w:val="0"/>
          <w:i w:val="0"/>
          <w:color w:val="59595B"/>
          <w:sz w:val="20"/>
        </w:rPr>
        <w:t>(c) Quarterly service reviews with Client's designated representative.</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PART 2 — SIP TRUNK SERVICES</w:t>
      </w:r>
    </w:p>
    <w:p>
      <w:pPr>
        <w:spacing w:after="80" w:line="288" w:lineRule="auto"/>
      </w:pPr>
      <w:r>
        <w:rPr>
          <w:rFonts w:ascii="Open Sans" w:hAnsi="Open Sans" w:cs="Open Sans"/>
          <w:b w:val="0"/>
          <w:i w:val="0"/>
          <w:color w:val="59595B"/>
          <w:sz w:val="20"/>
        </w:rPr>
        <w:t>Not currently subscribed by Client. Available services and rates are listed in Schedule C, Section 4. To add SIP Trunk Services, the Parties shall execute an updated Service Order under this Schedule.</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PART 3 — VIRTUAL STAFF (CONTRACTED SUPPORT)</w:t>
      </w:r>
    </w:p>
    <w:p>
      <w:pPr>
        <w:spacing w:after="120" w:line="288" w:lineRule="auto" w:before="200"/>
      </w:pPr>
      <w:r>
        <w:rPr>
          <w:rFonts w:ascii="Open Sans" w:hAnsi="Open Sans" w:cs="Open Sans"/>
          <w:b/>
          <w:i w:val="0"/>
          <w:color w:val="1A1A2E"/>
          <w:sz w:val="28"/>
        </w:rPr>
        <w:t>3.1 Description</w:t>
      </w:r>
    </w:p>
    <w:p>
      <w:pPr>
        <w:spacing w:after="80" w:line="288" w:lineRule="auto"/>
      </w:pPr>
      <w:r>
        <w:rPr>
          <w:rFonts w:ascii="Open Sans" w:hAnsi="Open Sans" w:cs="Open Sans"/>
          <w:b w:val="0"/>
          <w:i w:val="0"/>
          <w:color w:val="59595B"/>
          <w:sz w:val="20"/>
        </w:rPr>
        <w:t xml:space="preserve">Virtual Staff services provide Client with dedicated technology support personnel on a contracted basis. This service operates on a </w:t>
      </w:r>
      <w:r>
        <w:rPr>
          <w:rFonts w:ascii="Open Sans" w:hAnsi="Open Sans" w:cs="Open Sans"/>
          <w:b/>
          <w:i w:val="0"/>
          <w:color w:val="1A1A2E"/>
          <w:sz w:val="20"/>
        </w:rPr>
        <w:t>cycle-based billing model</w:t>
      </w:r>
      <w:r>
        <w:rPr>
          <w:rFonts w:ascii="Open Sans" w:hAnsi="Open Sans" w:cs="Open Sans"/>
          <w:b w:val="0"/>
          <w:i w:val="0"/>
          <w:color w:val="59595B"/>
          <w:sz w:val="20"/>
        </w:rPr>
        <w:t xml:space="preserve"> as described below, except where the Service Order in Section 4 designates a role as </w:t>
      </w:r>
      <w:r>
        <w:rPr>
          <w:rFonts w:ascii="Open Sans" w:hAnsi="Open Sans" w:cs="Open Sans"/>
          <w:b/>
          <w:i w:val="0"/>
          <w:color w:val="1A1A2E"/>
          <w:sz w:val="20"/>
        </w:rPr>
        <w:t>hourly (ad-hoc)</w:t>
      </w:r>
      <w:r>
        <w:rPr>
          <w:rFonts w:ascii="Open Sans" w:hAnsi="Open Sans" w:cs="Open Sans"/>
          <w:b w:val="0"/>
          <w:i w:val="0"/>
          <w:color w:val="59595B"/>
          <w:sz w:val="20"/>
        </w:rPr>
        <w:t>, in which case work is billed in 15-minute increments at the Hourly Rate from Schedule C and not committed to a Cycle.</w:t>
      </w:r>
    </w:p>
    <w:p>
      <w:pPr>
        <w:spacing w:after="120" w:line="288" w:lineRule="auto" w:before="200"/>
      </w:pPr>
      <w:r>
        <w:rPr>
          <w:rFonts w:ascii="Open Sans" w:hAnsi="Open Sans" w:cs="Open Sans"/>
          <w:b/>
          <w:i w:val="0"/>
          <w:color w:val="1A1A2E"/>
          <w:sz w:val="28"/>
        </w:rPr>
        <w:t>3.2 Support Roles</w:t>
      </w:r>
    </w:p>
    <w:p>
      <w:pPr>
        <w:spacing w:after="80" w:line="288" w:lineRule="auto"/>
      </w:pPr>
      <w:r>
        <w:rPr>
          <w:rFonts w:ascii="Open Sans" w:hAnsi="Open Sans" w:cs="Open Sans"/>
          <w:b w:val="0"/>
          <w:i w:val="0"/>
          <w:color w:val="59595B"/>
          <w:sz w:val="20"/>
        </w:rPr>
        <w:t>Client may select from the following standard support roles:</w:t>
      </w:r>
    </w:p>
    <w:tbl>
      <w:tblPr>
        <w:tblW w:type="auto" w:w="0"/>
        <w:tblLayout w:type="autofit"/>
        <w:tblLook w:firstColumn="1" w:firstRow="1" w:lastColumn="0" w:lastRow="0" w:noHBand="0" w:noVBand="1" w:val="04A0"/>
      </w:tblPr>
      <w:tblGrid>
        <w:gridCol w:w="2412"/>
        <w:gridCol w:w="2412"/>
        <w:gridCol w:w="2412"/>
        <w:gridCol w:w="2412"/>
      </w:tblGrid>
      <w:tr>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Role</w:t>
            </w:r>
          </w:p>
        </w:tc>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Location</w:t>
            </w:r>
          </w:p>
        </w:tc>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Hours</w:t>
            </w:r>
          </w:p>
        </w:tc>
        <w:tc>
          <w:tcPr>
            <w:tcW w:type="dxa" w:w="2412"/>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Rate</w:t>
            </w:r>
          </w:p>
        </w:tc>
      </w:tr>
      <w:tr>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CTO Advisory</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United States</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Normal Business Hours / After-Hours</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Rate Card (Schedule C)</w:t>
            </w:r>
          </w:p>
        </w:tc>
      </w:tr>
      <w:tr>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Developer</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United States</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Normal Business Hours</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Rate Card (Schedule C)</w:t>
            </w:r>
          </w:p>
        </w:tc>
      </w:tr>
      <w:tr>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United States</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Normal Business Hours / After-Hours</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Rate Card (Schedule C)</w:t>
            </w:r>
          </w:p>
        </w:tc>
      </w:tr>
      <w:tr>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Developer</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India (Night Shift)</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US Business Hours</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Rate Card (Schedule C)</w:t>
            </w:r>
          </w:p>
        </w:tc>
      </w:tr>
      <w:tr>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India (Night Shift)</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US Business Hours</w:t>
            </w:r>
          </w:p>
        </w:tc>
        <w:tc>
          <w:tcPr>
            <w:tcW w:type="dxa" w:w="2412"/>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Rate Card (Schedule C)</w:t>
            </w:r>
          </w:p>
        </w:tc>
      </w:tr>
      <w:tr>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India (Day Shift / After-Hours)</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US After-Hours</w:t>
            </w:r>
          </w:p>
        </w:tc>
        <w:tc>
          <w:tcPr>
            <w:tcW w:type="dxa" w:w="2412"/>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Rate Card (Schedule C)</w:t>
            </w:r>
          </w:p>
        </w:tc>
      </w:tr>
    </w:tbl>
    <w:p>
      <w:pPr>
        <w:spacing w:after="80" w:line="288" w:lineRule="auto"/>
      </w:pPr>
    </w:p>
    <w:p>
      <w:pPr>
        <w:spacing w:after="80" w:line="288" w:lineRule="auto"/>
      </w:pPr>
      <w:r>
        <w:rPr>
          <w:rFonts w:ascii="Open Sans" w:hAnsi="Open Sans" w:cs="Open Sans"/>
          <w:b/>
          <w:i w:val="0"/>
          <w:color w:val="1A1A2E"/>
          <w:sz w:val="20"/>
        </w:rPr>
        <w:t>Naming Convention:</w:t>
      </w:r>
    </w:p>
    <w:p>
      <w:pPr>
        <w:spacing w:after="40" w:line="288" w:lineRule="auto"/>
        <w:ind w:left="360"/>
      </w:pPr>
      <w:r>
        <w:rPr>
          <w:rFonts w:ascii="Open Sans" w:hAnsi="Open Sans" w:cs="Open Sans"/>
          <w:b/>
          <w:i w:val="0"/>
          <w:color w:val="006DB6"/>
          <w:sz w:val="20"/>
        </w:rPr>
        <w:t xml:space="preserve">•  </w:t>
      </w:r>
      <w:r>
        <w:rPr>
          <w:rFonts w:ascii="Open Sans" w:hAnsi="Open Sans" w:cs="Open Sans"/>
          <w:b w:val="0"/>
          <w:i w:val="0"/>
          <w:color w:val="59595B"/>
          <w:sz w:val="20"/>
        </w:rPr>
        <w:t>"India — Night" refers to India-based staff working during US business hours (nighttime in India)</w:t>
      </w:r>
    </w:p>
    <w:p>
      <w:pPr>
        <w:spacing w:after="40" w:line="288" w:lineRule="auto"/>
        <w:ind w:left="360"/>
      </w:pPr>
      <w:r>
        <w:rPr>
          <w:rFonts w:ascii="Open Sans" w:hAnsi="Open Sans" w:cs="Open Sans"/>
          <w:b/>
          <w:i w:val="0"/>
          <w:color w:val="006DB6"/>
          <w:sz w:val="20"/>
        </w:rPr>
        <w:t xml:space="preserve">•  </w:t>
      </w:r>
      <w:r>
        <w:rPr>
          <w:rFonts w:ascii="Open Sans" w:hAnsi="Open Sans" w:cs="Open Sans"/>
          <w:b w:val="0"/>
          <w:i w:val="0"/>
          <w:color w:val="59595B"/>
          <w:sz w:val="20"/>
        </w:rPr>
        <w:t>"India — Day" refers to India-based staff working during US after-hours (daytime in India)</w:t>
      </w:r>
    </w:p>
    <w:p>
      <w:pPr>
        <w:spacing w:after="120" w:line="288" w:lineRule="auto" w:before="200"/>
      </w:pPr>
      <w:r>
        <w:rPr>
          <w:rFonts w:ascii="Open Sans" w:hAnsi="Open Sans" w:cs="Open Sans"/>
          <w:b/>
          <w:i w:val="0"/>
          <w:color w:val="1A1A2E"/>
          <w:sz w:val="28"/>
        </w:rPr>
        <w:t>3.3 Cycle-Based Billing Model (applies only to roles designated as "Cycle" in the Service Order)</w:t>
      </w:r>
    </w:p>
    <w:p>
      <w:pPr>
        <w:spacing w:after="80" w:line="288" w:lineRule="auto"/>
      </w:pPr>
      <w:r>
        <w:rPr>
          <w:rFonts w:ascii="Open Sans" w:hAnsi="Open Sans" w:cs="Open Sans"/>
          <w:b/>
          <w:i w:val="0"/>
          <w:color w:val="1A1A2E"/>
          <w:sz w:val="20"/>
        </w:rPr>
        <w:t>(a) Billing Cycle.</w:t>
      </w:r>
      <w:r>
        <w:rPr>
          <w:rFonts w:ascii="Open Sans" w:hAnsi="Open Sans" w:cs="Open Sans"/>
          <w:b w:val="0"/>
          <w:i w:val="0"/>
          <w:color w:val="59595B"/>
          <w:sz w:val="20"/>
        </w:rPr>
        <w:t xml:space="preserve"> For roles designated as "Cycle," Client selects a billing cycle of </w:t>
      </w:r>
      <w:r>
        <w:rPr>
          <w:rFonts w:ascii="Open Sans" w:hAnsi="Open Sans" w:cs="Open Sans"/>
          <w:b/>
          <w:i w:val="0"/>
          <w:color w:val="1A1A2E"/>
          <w:sz w:val="20"/>
        </w:rPr>
        <w:t>3, 6, or 12 months</w:t>
      </w:r>
      <w:r>
        <w:rPr>
          <w:rFonts w:ascii="Open Sans" w:hAnsi="Open Sans" w:cs="Open Sans"/>
          <w:b w:val="0"/>
          <w:i w:val="0"/>
          <w:color w:val="59595B"/>
          <w:sz w:val="20"/>
        </w:rPr>
        <w:t xml:space="preserve"> (the "Cycle"). The Cycle is used to calculate the monthly billed amount and track actual usage.</w:t>
      </w:r>
    </w:p>
    <w:p>
      <w:pPr>
        <w:spacing w:after="80" w:line="288" w:lineRule="auto"/>
      </w:pPr>
      <w:r>
        <w:rPr>
          <w:rFonts w:ascii="Open Sans" w:hAnsi="Open Sans" w:cs="Open Sans"/>
          <w:b/>
          <w:i w:val="0"/>
          <w:color w:val="1A1A2E"/>
          <w:sz w:val="20"/>
        </w:rPr>
        <w:t>(b) Monthly Billed Amount Calculation.</w:t>
      </w:r>
      <w:r>
        <w:rPr>
          <w:rFonts w:ascii="Open Sans" w:hAnsi="Open Sans" w:cs="Open Sans"/>
          <w:b w:val="0"/>
          <w:i w:val="0"/>
          <w:color w:val="59595B"/>
          <w:sz w:val="20"/>
        </w:rPr>
        <w:t xml:space="preserve"> The fixed monthly billing rate for each Cycle role is calculated as follows:</w:t>
      </w:r>
    </w:p>
    <w:p>
      <w:pPr>
        <w:spacing w:after="40" w:line="288" w:lineRule="auto"/>
        <w:ind w:left="360"/>
      </w:pPr>
      <w:r>
        <w:rPr>
          <w:rFonts w:ascii="Open Sans" w:hAnsi="Open Sans" w:cs="Open Sans"/>
          <w:b/>
          <w:i w:val="0"/>
          <w:color w:val="006DB6"/>
          <w:sz w:val="20"/>
        </w:rPr>
        <w:t xml:space="preserve">1.  </w:t>
      </w:r>
      <w:r>
        <w:rPr>
          <w:rFonts w:ascii="Open Sans" w:hAnsi="Open Sans" w:cs="Open Sans"/>
          <w:b w:val="0"/>
          <w:i w:val="0"/>
          <w:color w:val="59595B"/>
          <w:sz w:val="20"/>
        </w:rPr>
        <w:t xml:space="preserve">At the start of each new Cycle, Technijian calculates the </w:t>
      </w:r>
      <w:r>
        <w:rPr>
          <w:rFonts w:ascii="Open Sans" w:hAnsi="Open Sans" w:cs="Open Sans"/>
          <w:b/>
          <w:i w:val="0"/>
          <w:color w:val="1A1A2E"/>
          <w:sz w:val="20"/>
        </w:rPr>
        <w:t>average monthly hours</w:t>
      </w:r>
      <w:r>
        <w:rPr>
          <w:rFonts w:ascii="Open Sans" w:hAnsi="Open Sans" w:cs="Open Sans"/>
          <w:b w:val="0"/>
          <w:i w:val="0"/>
          <w:color w:val="59595B"/>
          <w:sz w:val="20"/>
        </w:rPr>
        <w:t xml:space="preserve"> consumed per role during the previous Cycle, excluding the final month of that Cycle (to avoid billing spikes from ramp-down or ramp-up activity in the transition month).</w:t>
      </w:r>
    </w:p>
    <w:p>
      <w:pPr>
        <w:spacing w:after="40" w:line="288" w:lineRule="auto"/>
        <w:ind w:left="360"/>
      </w:pPr>
      <w:r>
        <w:rPr>
          <w:rFonts w:ascii="Open Sans" w:hAnsi="Open Sans" w:cs="Open Sans"/>
          <w:b/>
          <w:i w:val="0"/>
          <w:color w:val="006DB6"/>
          <w:sz w:val="20"/>
        </w:rPr>
        <w:t xml:space="preserve">2.  </w:t>
      </w:r>
      <w:r>
        <w:rPr>
          <w:rFonts w:ascii="Open Sans" w:hAnsi="Open Sans" w:cs="Open Sans"/>
          <w:b w:val="0"/>
          <w:i w:val="0"/>
          <w:color w:val="59595B"/>
          <w:sz w:val="20"/>
        </w:rPr>
        <w:t xml:space="preserve">This average becomes the </w:t>
      </w:r>
      <w:r>
        <w:rPr>
          <w:rFonts w:ascii="Open Sans" w:hAnsi="Open Sans" w:cs="Open Sans"/>
          <w:b/>
          <w:i w:val="0"/>
          <w:color w:val="1A1A2E"/>
          <w:sz w:val="20"/>
        </w:rPr>
        <w:t>monthly billed hours</w:t>
      </w:r>
      <w:r>
        <w:rPr>
          <w:rFonts w:ascii="Open Sans" w:hAnsi="Open Sans" w:cs="Open Sans"/>
          <w:b w:val="0"/>
          <w:i w:val="0"/>
          <w:color w:val="59595B"/>
          <w:sz w:val="20"/>
        </w:rPr>
        <w:t xml:space="preserve"> for each role during the current Cycle.</w:t>
      </w:r>
    </w:p>
    <w:p>
      <w:pPr>
        <w:spacing w:after="40" w:line="288" w:lineRule="auto"/>
        <w:ind w:left="360"/>
      </w:pPr>
      <w:r>
        <w:rPr>
          <w:rFonts w:ascii="Open Sans" w:hAnsi="Open Sans" w:cs="Open Sans"/>
          <w:b/>
          <w:i w:val="0"/>
          <w:color w:val="006DB6"/>
          <w:sz w:val="20"/>
        </w:rPr>
        <w:t xml:space="preserve">3.  </w:t>
      </w:r>
      <w:r>
        <w:rPr>
          <w:rFonts w:ascii="Open Sans" w:hAnsi="Open Sans" w:cs="Open Sans"/>
          <w:b w:val="0"/>
          <w:i w:val="0"/>
          <w:color w:val="59595B"/>
          <w:sz w:val="20"/>
        </w:rPr>
        <w:t xml:space="preserve">The monthly billed amount for each role equals the monthly billed hours multiplied by the applicable </w:t>
      </w:r>
      <w:r>
        <w:rPr>
          <w:rFonts w:ascii="Open Sans" w:hAnsi="Open Sans" w:cs="Open Sans"/>
          <w:b/>
          <w:i w:val="0"/>
          <w:color w:val="1A1A2E"/>
          <w:sz w:val="20"/>
        </w:rPr>
        <w:t>Contracted Rate</w:t>
      </w:r>
      <w:r>
        <w:rPr>
          <w:rFonts w:ascii="Open Sans" w:hAnsi="Open Sans" w:cs="Open Sans"/>
          <w:b w:val="0"/>
          <w:i w:val="0"/>
          <w:color w:val="59595B"/>
          <w:sz w:val="20"/>
        </w:rPr>
        <w:t xml:space="preserve"> from the Rate Card (Schedule C).</w:t>
      </w:r>
    </w:p>
    <w:p>
      <w:pPr>
        <w:spacing w:after="80" w:line="288" w:lineRule="auto"/>
      </w:pPr>
      <w:r>
        <w:rPr>
          <w:rFonts w:ascii="Open Sans" w:hAnsi="Open Sans" w:cs="Open Sans"/>
          <w:b/>
          <w:i w:val="0"/>
          <w:color w:val="1A1A2E"/>
          <w:sz w:val="20"/>
        </w:rPr>
        <w:t>(c) Running Balance.</w:t>
      </w:r>
      <w:r>
        <w:rPr>
          <w:rFonts w:ascii="Open Sans" w:hAnsi="Open Sans" w:cs="Open Sans"/>
          <w:b w:val="0"/>
          <w:i w:val="0"/>
          <w:color w:val="59595B"/>
          <w:sz w:val="20"/>
        </w:rPr>
        <w:t xml:space="preserve"> Technijian maintains a running balance for each Cycle role, calculated as follows:</w:t>
      </w:r>
    </w:p>
    <w:p>
      <w:pPr>
        <w:spacing w:after="40" w:line="288" w:lineRule="auto"/>
        <w:ind w:left="360"/>
      </w:pPr>
      <w:r>
        <w:rPr>
          <w:rFonts w:ascii="Open Sans" w:hAnsi="Open Sans" w:cs="Open Sans"/>
          <w:b/>
          <w:i w:val="0"/>
          <w:color w:val="006DB6"/>
          <w:sz w:val="20"/>
        </w:rPr>
        <w:t xml:space="preserve">1.  </w:t>
      </w:r>
      <w:r>
        <w:rPr>
          <w:rFonts w:ascii="Open Sans" w:hAnsi="Open Sans" w:cs="Open Sans"/>
          <w:b w:val="0"/>
          <w:i w:val="0"/>
          <w:color w:val="59595B"/>
          <w:sz w:val="20"/>
        </w:rPr>
        <w:t>At the start of each month, the running balance is adjusted by:</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Adding</w:t>
      </w:r>
      <w:r>
        <w:rPr>
          <w:rFonts w:ascii="Open Sans" w:hAnsi="Open Sans" w:cs="Open Sans"/>
          <w:b w:val="0"/>
          <w:i w:val="0"/>
          <w:color w:val="59595B"/>
          <w:sz w:val="20"/>
        </w:rPr>
        <w:t xml:space="preserve"> the actual hours used during the previous month; and</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Subtracting</w:t>
      </w:r>
      <w:r>
        <w:rPr>
          <w:rFonts w:ascii="Open Sans" w:hAnsi="Open Sans" w:cs="Open Sans"/>
          <w:b w:val="0"/>
          <w:i w:val="0"/>
          <w:color w:val="59595B"/>
          <w:sz w:val="20"/>
        </w:rPr>
        <w:t xml:space="preserve"> the monthly billed hours for that month.</w:t>
      </w:r>
    </w:p>
    <w:p>
      <w:pPr>
        <w:spacing w:after="40" w:line="288" w:lineRule="auto"/>
        <w:ind w:left="360"/>
      </w:pPr>
      <w:r>
        <w:rPr>
          <w:rFonts w:ascii="Open Sans" w:hAnsi="Open Sans" w:cs="Open Sans"/>
          <w:b/>
          <w:i w:val="0"/>
          <w:color w:val="006DB6"/>
          <w:sz w:val="20"/>
        </w:rPr>
        <w:t xml:space="preserve">2.  </w:t>
      </w:r>
      <w:r>
        <w:rPr>
          <w:rFonts w:ascii="Open Sans" w:hAnsi="Open Sans" w:cs="Open Sans"/>
          <w:b w:val="0"/>
          <w:i w:val="0"/>
          <w:color w:val="59595B"/>
          <w:sz w:val="20"/>
        </w:rPr>
        <w:t xml:space="preserve">A </w:t>
      </w:r>
      <w:r>
        <w:rPr>
          <w:rFonts w:ascii="Open Sans" w:hAnsi="Open Sans" w:cs="Open Sans"/>
          <w:b/>
          <w:i w:val="0"/>
          <w:color w:val="1A1A2E"/>
          <w:sz w:val="20"/>
        </w:rPr>
        <w:t>positive running balance</w:t>
      </w:r>
      <w:r>
        <w:rPr>
          <w:rFonts w:ascii="Open Sans" w:hAnsi="Open Sans" w:cs="Open Sans"/>
          <w:b w:val="0"/>
          <w:i w:val="0"/>
          <w:color w:val="59595B"/>
          <w:sz w:val="20"/>
        </w:rPr>
        <w:t xml:space="preserve"> indicates hours consumed in excess of billed amounts (Client owes additional hours).</w:t>
      </w:r>
    </w:p>
    <w:p>
      <w:pPr>
        <w:spacing w:after="40" w:line="288" w:lineRule="auto"/>
        <w:ind w:left="360"/>
      </w:pPr>
      <w:r>
        <w:rPr>
          <w:rFonts w:ascii="Open Sans" w:hAnsi="Open Sans" w:cs="Open Sans"/>
          <w:b/>
          <w:i w:val="0"/>
          <w:color w:val="006DB6"/>
          <w:sz w:val="20"/>
        </w:rPr>
        <w:t xml:space="preserve">3.  </w:t>
      </w:r>
      <w:r>
        <w:rPr>
          <w:rFonts w:ascii="Open Sans" w:hAnsi="Open Sans" w:cs="Open Sans"/>
          <w:b w:val="0"/>
          <w:i w:val="0"/>
          <w:color w:val="59595B"/>
          <w:sz w:val="20"/>
        </w:rPr>
        <w:t xml:space="preserve">A </w:t>
      </w:r>
      <w:r>
        <w:rPr>
          <w:rFonts w:ascii="Open Sans" w:hAnsi="Open Sans" w:cs="Open Sans"/>
          <w:b/>
          <w:i w:val="0"/>
          <w:color w:val="1A1A2E"/>
          <w:sz w:val="20"/>
        </w:rPr>
        <w:t>negative running balance</w:t>
      </w:r>
      <w:r>
        <w:rPr>
          <w:rFonts w:ascii="Open Sans" w:hAnsi="Open Sans" w:cs="Open Sans"/>
          <w:b w:val="0"/>
          <w:i w:val="0"/>
          <w:color w:val="59595B"/>
          <w:sz w:val="20"/>
        </w:rPr>
        <w:t xml:space="preserve"> indicates hours billed in excess of consumption (Client has a credit).</w:t>
      </w:r>
    </w:p>
    <w:p>
      <w:pPr>
        <w:spacing w:after="80" w:line="288" w:lineRule="auto"/>
      </w:pPr>
      <w:r>
        <w:rPr>
          <w:rFonts w:ascii="Open Sans" w:hAnsi="Open Sans" w:cs="Open Sans"/>
          <w:b/>
          <w:i w:val="0"/>
          <w:color w:val="1A1A2E"/>
          <w:sz w:val="20"/>
        </w:rPr>
        <w:t>(d) Cycle Reconciliation.</w:t>
      </w:r>
      <w:r>
        <w:rPr>
          <w:rFonts w:ascii="Open Sans" w:hAnsi="Open Sans" w:cs="Open Sans"/>
          <w:b w:val="0"/>
          <w:i w:val="0"/>
          <w:color w:val="59595B"/>
          <w:sz w:val="20"/>
        </w:rPr>
        <w:t xml:space="preserve"> At the end of each Cycle:</w:t>
      </w:r>
    </w:p>
    <w:p>
      <w:pPr>
        <w:spacing w:after="40" w:line="288" w:lineRule="auto"/>
        <w:ind w:left="360"/>
      </w:pPr>
      <w:r>
        <w:rPr>
          <w:rFonts w:ascii="Open Sans" w:hAnsi="Open Sans" w:cs="Open Sans"/>
          <w:b/>
          <w:i w:val="0"/>
          <w:color w:val="006DB6"/>
          <w:sz w:val="20"/>
        </w:rPr>
        <w:t xml:space="preserve">1.  </w:t>
      </w:r>
      <w:r>
        <w:rPr>
          <w:rFonts w:ascii="Open Sans" w:hAnsi="Open Sans" w:cs="Open Sans"/>
          <w:b w:val="0"/>
          <w:i w:val="0"/>
          <w:color w:val="59595B"/>
          <w:sz w:val="20"/>
        </w:rPr>
        <w:t>The running balance for each Cycle role is reconciled.</w:t>
      </w:r>
    </w:p>
    <w:p>
      <w:pPr>
        <w:spacing w:after="40" w:line="288" w:lineRule="auto"/>
        <w:ind w:left="360"/>
      </w:pPr>
      <w:r>
        <w:rPr>
          <w:rFonts w:ascii="Open Sans" w:hAnsi="Open Sans" w:cs="Open Sans"/>
          <w:b/>
          <w:i w:val="0"/>
          <w:color w:val="006DB6"/>
          <w:sz w:val="20"/>
        </w:rPr>
        <w:t xml:space="preserve">2.  </w:t>
      </w:r>
      <w:r>
        <w:rPr>
          <w:rFonts w:ascii="Open Sans" w:hAnsi="Open Sans" w:cs="Open Sans"/>
          <w:b w:val="0"/>
          <w:i w:val="0"/>
          <w:color w:val="59595B"/>
          <w:sz w:val="20"/>
        </w:rPr>
        <w:t xml:space="preserve">Any net positive balance (hours consumed but not yet paid) is invoiced at the applicable </w:t>
      </w:r>
      <w:r>
        <w:rPr>
          <w:rFonts w:ascii="Open Sans" w:hAnsi="Open Sans" w:cs="Open Sans"/>
          <w:b/>
          <w:i w:val="0"/>
          <w:color w:val="1A1A2E"/>
          <w:sz w:val="20"/>
        </w:rPr>
        <w:t>Hourly Rate</w:t>
      </w:r>
      <w:r>
        <w:rPr>
          <w:rFonts w:ascii="Open Sans" w:hAnsi="Open Sans" w:cs="Open Sans"/>
          <w:b w:val="0"/>
          <w:i w:val="0"/>
          <w:color w:val="59595B"/>
          <w:sz w:val="20"/>
        </w:rPr>
        <w:t xml:space="preserve"> from the Rate Card.</w:t>
      </w:r>
    </w:p>
    <w:p>
      <w:pPr>
        <w:spacing w:after="40" w:line="288" w:lineRule="auto"/>
        <w:ind w:left="360"/>
      </w:pPr>
      <w:r>
        <w:rPr>
          <w:rFonts w:ascii="Open Sans" w:hAnsi="Open Sans" w:cs="Open Sans"/>
          <w:b/>
          <w:i w:val="0"/>
          <w:color w:val="006DB6"/>
          <w:sz w:val="20"/>
        </w:rPr>
        <w:t xml:space="preserve">3.  </w:t>
      </w:r>
      <w:r>
        <w:rPr>
          <w:rFonts w:ascii="Open Sans" w:hAnsi="Open Sans" w:cs="Open Sans"/>
          <w:b w:val="0"/>
          <w:i w:val="0"/>
          <w:color w:val="59595B"/>
          <w:sz w:val="20"/>
        </w:rPr>
        <w:t>Any net negative balance (hours paid but not consumed) carries forward to the next Cycle as a credit.</w:t>
      </w:r>
    </w:p>
    <w:p>
      <w:pPr>
        <w:spacing w:after="80" w:line="288" w:lineRule="auto"/>
      </w:pPr>
      <w:r>
        <w:rPr>
          <w:rFonts w:ascii="Open Sans" w:hAnsi="Open Sans" w:cs="Open Sans"/>
          <w:b/>
          <w:i w:val="0"/>
          <w:color w:val="1A1A2E"/>
          <w:sz w:val="20"/>
        </w:rPr>
        <w:t>(e) Cancellation.</w:t>
      </w:r>
      <w:r>
        <w:rPr>
          <w:rFonts w:ascii="Open Sans" w:hAnsi="Open Sans" w:cs="Open Sans"/>
          <w:b w:val="0"/>
          <w:i w:val="0"/>
          <w:color w:val="59595B"/>
          <w:sz w:val="20"/>
        </w:rPr>
        <w:t xml:space="preserve"> If Client terminates Virtual Staff services or this Agreement:</w:t>
      </w:r>
    </w:p>
    <w:p>
      <w:pPr>
        <w:spacing w:after="40" w:line="288" w:lineRule="auto"/>
        <w:ind w:left="360"/>
      </w:pPr>
      <w:r>
        <w:rPr>
          <w:rFonts w:ascii="Open Sans" w:hAnsi="Open Sans" w:cs="Open Sans"/>
          <w:b/>
          <w:i w:val="0"/>
          <w:color w:val="006DB6"/>
          <w:sz w:val="20"/>
        </w:rPr>
        <w:t xml:space="preserve">1.  </w:t>
      </w:r>
      <w:r>
        <w:rPr>
          <w:rFonts w:ascii="Open Sans" w:hAnsi="Open Sans" w:cs="Open Sans"/>
          <w:b w:val="0"/>
          <w:i w:val="0"/>
          <w:color w:val="59595B"/>
          <w:sz w:val="20"/>
        </w:rPr>
        <w:t xml:space="preserve">Any positive running balance (actual hours exceeding billed hours) shall become immediately due and payable at the </w:t>
      </w:r>
      <w:r>
        <w:rPr>
          <w:rFonts w:ascii="Open Sans" w:hAnsi="Open Sans" w:cs="Open Sans"/>
          <w:b/>
          <w:i w:val="0"/>
          <w:color w:val="1A1A2E"/>
          <w:sz w:val="20"/>
        </w:rPr>
        <w:t>Hourly Rate</w:t>
      </w:r>
      <w:r>
        <w:rPr>
          <w:rFonts w:ascii="Open Sans" w:hAnsi="Open Sans" w:cs="Open Sans"/>
          <w:b w:val="0"/>
          <w:i w:val="0"/>
          <w:color w:val="59595B"/>
          <w:sz w:val="20"/>
        </w:rPr>
        <w:t xml:space="preserve"> from the Rate Card.</w:t>
      </w:r>
    </w:p>
    <w:p>
      <w:pPr>
        <w:spacing w:after="40" w:line="288" w:lineRule="auto"/>
        <w:ind w:left="360"/>
      </w:pPr>
      <w:r>
        <w:rPr>
          <w:rFonts w:ascii="Open Sans" w:hAnsi="Open Sans" w:cs="Open Sans"/>
          <w:b/>
          <w:i w:val="0"/>
          <w:color w:val="006DB6"/>
          <w:sz w:val="20"/>
        </w:rPr>
        <w:t xml:space="preserve">2.  </w:t>
      </w:r>
      <w:r>
        <w:rPr>
          <w:rFonts w:ascii="Open Sans" w:hAnsi="Open Sans" w:cs="Open Sans"/>
          <w:b w:val="0"/>
          <w:i w:val="0"/>
          <w:color w:val="59595B"/>
          <w:sz w:val="20"/>
        </w:rPr>
        <w:t>Any negative running balance (billed hours exceeding actual hours) will be credited to Client's final invoice. The credit shall equal the full net negative balance for each role, up to a maximum of the total billed amount for the current Cycle for that role. Any remaining credit beyond this maximum shall be forfeited, as Technijian has committed staffing resources and reserved capacity for the duration of the Cycle.</w:t>
      </w:r>
    </w:p>
    <w:p>
      <w:pPr>
        <w:spacing w:after="80" w:line="288" w:lineRule="auto"/>
      </w:pPr>
      <w:r>
        <w:rPr>
          <w:rFonts w:ascii="Open Sans" w:hAnsi="Open Sans" w:cs="Open Sans"/>
          <w:b/>
          <w:i w:val="0"/>
          <w:color w:val="1A1A2E"/>
          <w:sz w:val="20"/>
        </w:rPr>
        <w:t>(f) Cycle Reconciliation Dispute Window.</w:t>
      </w:r>
      <w:r>
        <w:rPr>
          <w:rFonts w:ascii="Open Sans" w:hAnsi="Open Sans" w:cs="Open Sans"/>
          <w:b w:val="0"/>
          <w:i w:val="0"/>
          <w:color w:val="59595B"/>
          <w:sz w:val="20"/>
        </w:rPr>
        <w:t xml:space="preserve"> Technijian shall deliver a written reconciliation statement to Client within </w:t>
      </w:r>
      <w:r>
        <w:rPr>
          <w:rFonts w:ascii="Open Sans" w:hAnsi="Open Sans" w:cs="Open Sans"/>
          <w:b/>
          <w:i w:val="0"/>
          <w:color w:val="1A1A2E"/>
          <w:sz w:val="20"/>
        </w:rPr>
        <w:t>ten (10) business days</w:t>
      </w:r>
      <w:r>
        <w:rPr>
          <w:rFonts w:ascii="Open Sans" w:hAnsi="Open Sans" w:cs="Open Sans"/>
          <w:b w:val="0"/>
          <w:i w:val="0"/>
          <w:color w:val="59595B"/>
          <w:sz w:val="20"/>
        </w:rPr>
        <w:t xml:space="preserve"> of the end of each Cycle. Client shall have </w:t>
      </w:r>
      <w:r>
        <w:rPr>
          <w:rFonts w:ascii="Open Sans" w:hAnsi="Open Sans" w:cs="Open Sans"/>
          <w:b/>
          <w:i w:val="0"/>
          <w:color w:val="1A1A2E"/>
          <w:sz w:val="20"/>
        </w:rPr>
        <w:t>fifteen (15) business days</w:t>
      </w:r>
      <w:r>
        <w:rPr>
          <w:rFonts w:ascii="Open Sans" w:hAnsi="Open Sans" w:cs="Open Sans"/>
          <w:b w:val="0"/>
          <w:i w:val="0"/>
          <w:color w:val="59595B"/>
          <w:sz w:val="20"/>
        </w:rPr>
        <w:t xml:space="preserve"> from receipt of the reconciliation statement to dispute any portion of the running balance, specifying the nature of the dispute in writing. Failure to provide a timely written dispute shall constitute acceptance of the reconciliation.</w:t>
      </w:r>
    </w:p>
    <w:p>
      <w:pPr>
        <w:spacing w:after="80" w:line="288" w:lineRule="auto"/>
      </w:pPr>
      <w:r>
        <w:rPr>
          <w:rFonts w:ascii="Open Sans" w:hAnsi="Open Sans" w:cs="Open Sans"/>
          <w:b/>
          <w:i w:val="0"/>
          <w:color w:val="1A1A2E"/>
          <w:sz w:val="20"/>
        </w:rPr>
        <w:t>(g) Minimum Contracted Hours.</w:t>
      </w:r>
      <w:r>
        <w:rPr>
          <w:rFonts w:ascii="Open Sans" w:hAnsi="Open Sans" w:cs="Open Sans"/>
          <w:b w:val="0"/>
          <w:i w:val="0"/>
          <w:color w:val="59595B"/>
          <w:sz w:val="20"/>
        </w:rPr>
        <w:t xml:space="preserve"> The monthly billed hours for each Cycle role shall not fall below </w:t>
      </w:r>
      <w:r>
        <w:rPr>
          <w:rFonts w:ascii="Open Sans" w:hAnsi="Open Sans" w:cs="Open Sans"/>
          <w:b/>
          <w:i w:val="0"/>
          <w:color w:val="1A1A2E"/>
          <w:sz w:val="20"/>
        </w:rPr>
        <w:t>fifty percent (50%)</w:t>
      </w:r>
      <w:r>
        <w:rPr>
          <w:rFonts w:ascii="Open Sans" w:hAnsi="Open Sans" w:cs="Open Sans"/>
          <w:b w:val="0"/>
          <w:i w:val="0"/>
          <w:color w:val="59595B"/>
          <w:sz w:val="20"/>
        </w:rPr>
        <w:t xml:space="preserve"> of the initial contracted hours established in the Service Order for that role (the "Minimum Hours"). If actual usage drops below the Minimum Hours for three (3) or more consecutive months, Technijian may adjust the monthly billed hours down to the Minimum Hours at the start of the next Cycle, but shall not reduce below the Minimum Hours without mutual written agreement. If Client wishes to reduce hours below the Minimum, Client may request a Service Order amendment, subject to Technijian's approval and a </w:t>
      </w:r>
      <w:r>
        <w:rPr>
          <w:rFonts w:ascii="Open Sans" w:hAnsi="Open Sans" w:cs="Open Sans"/>
          <w:b/>
          <w:i w:val="0"/>
          <w:color w:val="1A1A2E"/>
          <w:sz w:val="20"/>
        </w:rPr>
        <w:t>thirty (30) day</w:t>
      </w:r>
      <w:r>
        <w:rPr>
          <w:rFonts w:ascii="Open Sans" w:hAnsi="Open Sans" w:cs="Open Sans"/>
          <w:b w:val="0"/>
          <w:i w:val="0"/>
          <w:color w:val="59595B"/>
          <w:sz w:val="20"/>
        </w:rPr>
        <w:t xml:space="preserve"> notice period.</w:t>
      </w:r>
    </w:p>
    <w:p>
      <w:pPr>
        <w:spacing w:after="120" w:line="288" w:lineRule="auto" w:before="200"/>
      </w:pPr>
      <w:r>
        <w:rPr>
          <w:rFonts w:ascii="Open Sans" w:hAnsi="Open Sans" w:cs="Open Sans"/>
          <w:b/>
          <w:i w:val="0"/>
          <w:color w:val="1A1A2E"/>
          <w:sz w:val="28"/>
        </w:rPr>
        <w:t>3.4 Hourly (Ad-Hoc) Roles</w:t>
      </w:r>
    </w:p>
    <w:p>
      <w:pPr>
        <w:spacing w:after="80" w:line="288" w:lineRule="auto"/>
      </w:pPr>
      <w:r>
        <w:rPr>
          <w:rFonts w:ascii="Open Sans" w:hAnsi="Open Sans" w:cs="Open Sans"/>
          <w:b w:val="0"/>
          <w:i w:val="0"/>
          <w:color w:val="59595B"/>
          <w:sz w:val="20"/>
        </w:rPr>
        <w:t xml:space="preserve">For roles designated as </w:t>
      </w:r>
      <w:r>
        <w:rPr>
          <w:rFonts w:ascii="Open Sans" w:hAnsi="Open Sans" w:cs="Open Sans"/>
          <w:b/>
          <w:i w:val="0"/>
          <w:color w:val="1A1A2E"/>
          <w:sz w:val="20"/>
        </w:rPr>
        <w:t>"Hourly (Ad-Hoc)"</w:t>
      </w:r>
      <w:r>
        <w:rPr>
          <w:rFonts w:ascii="Open Sans" w:hAnsi="Open Sans" w:cs="Open Sans"/>
          <w:b w:val="0"/>
          <w:i w:val="0"/>
          <w:color w:val="59595B"/>
          <w:sz w:val="20"/>
        </w:rPr>
        <w:t xml:space="preserve"> in the Service Order:</w:t>
      </w:r>
    </w:p>
    <w:p>
      <w:pPr>
        <w:spacing w:after="80" w:line="288" w:lineRule="auto"/>
      </w:pPr>
      <w:r>
        <w:rPr>
          <w:rFonts w:ascii="Open Sans" w:hAnsi="Open Sans" w:cs="Open Sans"/>
          <w:b w:val="0"/>
          <w:i w:val="0"/>
          <w:color w:val="59595B"/>
          <w:sz w:val="20"/>
        </w:rPr>
        <w:t>(a) No Cycle commitment applies. There is no minimum monthly hours commitment, no running balance, and no Cycle reconciliation.</w:t>
      </w:r>
    </w:p>
    <w:p>
      <w:pPr>
        <w:spacing w:after="80" w:line="288" w:lineRule="auto"/>
      </w:pPr>
      <w:r>
        <w:rPr>
          <w:rFonts w:ascii="Open Sans" w:hAnsi="Open Sans" w:cs="Open Sans"/>
          <w:b w:val="0"/>
          <w:i w:val="0"/>
          <w:color w:val="59595B"/>
          <w:sz w:val="20"/>
        </w:rPr>
        <w:t xml:space="preserve">(b) Work is billed at the </w:t>
      </w:r>
      <w:r>
        <w:rPr>
          <w:rFonts w:ascii="Open Sans" w:hAnsi="Open Sans" w:cs="Open Sans"/>
          <w:b/>
          <w:i w:val="0"/>
          <w:color w:val="1A1A2E"/>
          <w:sz w:val="20"/>
        </w:rPr>
        <w:t>Hourly Rate</w:t>
      </w:r>
      <w:r>
        <w:rPr>
          <w:rFonts w:ascii="Open Sans" w:hAnsi="Open Sans" w:cs="Open Sans"/>
          <w:b w:val="0"/>
          <w:i w:val="0"/>
          <w:color w:val="59595B"/>
          <w:sz w:val="20"/>
        </w:rPr>
        <w:t xml:space="preserve"> (or </w:t>
      </w:r>
      <w:r>
        <w:rPr>
          <w:rFonts w:ascii="Open Sans" w:hAnsi="Open Sans" w:cs="Open Sans"/>
          <w:b/>
          <w:i w:val="0"/>
          <w:color w:val="1A1A2E"/>
          <w:sz w:val="20"/>
        </w:rPr>
        <w:t>After-Hours Rate</w:t>
      </w:r>
      <w:r>
        <w:rPr>
          <w:rFonts w:ascii="Open Sans" w:hAnsi="Open Sans" w:cs="Open Sans"/>
          <w:b w:val="0"/>
          <w:i w:val="0"/>
          <w:color w:val="59595B"/>
          <w:sz w:val="20"/>
        </w:rPr>
        <w:t xml:space="preserve"> for after-hours work) from Schedule C, in 15-minute increments.</w:t>
      </w:r>
    </w:p>
    <w:p>
      <w:pPr>
        <w:spacing w:after="80" w:line="288" w:lineRule="auto"/>
      </w:pPr>
      <w:r>
        <w:rPr>
          <w:rFonts w:ascii="Open Sans" w:hAnsi="Open Sans" w:cs="Open Sans"/>
          <w:b w:val="0"/>
          <w:i w:val="0"/>
          <w:color w:val="59595B"/>
          <w:sz w:val="20"/>
        </w:rPr>
        <w:t>(c) Each weekly out-of-contract invoice (MSA Section 3.02(d)) will list ticket-by-ticket time entries for any Hourly Ad-Hoc work performed during the week.</w:t>
      </w:r>
    </w:p>
    <w:p>
      <w:pPr>
        <w:spacing w:after="80" w:line="288" w:lineRule="auto"/>
      </w:pPr>
      <w:r>
        <w:rPr>
          <w:rFonts w:ascii="Open Sans" w:hAnsi="Open Sans" w:cs="Open Sans"/>
          <w:b w:val="0"/>
          <w:i w:val="0"/>
          <w:color w:val="59595B"/>
          <w:sz w:val="20"/>
        </w:rPr>
        <w:t>(d) Either Party may at any time propose converting an Hourly Ad-Hoc role to a Cycle role (or vice versa) by amending this Service Order in writing.</w:t>
      </w:r>
    </w:p>
    <w:p>
      <w:pPr>
        <w:spacing w:after="120" w:line="288" w:lineRule="auto" w:before="200"/>
      </w:pPr>
      <w:r>
        <w:rPr>
          <w:rFonts w:ascii="Open Sans" w:hAnsi="Open Sans" w:cs="Open Sans"/>
          <w:b/>
          <w:i w:val="0"/>
          <w:color w:val="1A1A2E"/>
          <w:sz w:val="28"/>
        </w:rPr>
        <w:t>3.5 Weekly Service Invoices</w:t>
      </w:r>
    </w:p>
    <w:p>
      <w:pPr>
        <w:spacing w:after="80" w:line="288" w:lineRule="auto"/>
      </w:pPr>
      <w:r>
        <w:rPr>
          <w:rFonts w:ascii="Open Sans" w:hAnsi="Open Sans" w:cs="Open Sans"/>
          <w:b w:val="0"/>
          <w:i w:val="0"/>
          <w:color w:val="59595B"/>
          <w:sz w:val="20"/>
        </w:rPr>
        <w:t xml:space="preserve">Technijian shall provide Client with </w:t>
      </w:r>
      <w:r>
        <w:rPr>
          <w:rFonts w:ascii="Open Sans" w:hAnsi="Open Sans" w:cs="Open Sans"/>
          <w:b/>
          <w:i w:val="0"/>
          <w:color w:val="1A1A2E"/>
          <w:sz w:val="20"/>
        </w:rPr>
        <w:t>weekly service invoices</w:t>
      </w:r>
      <w:r>
        <w:rPr>
          <w:rFonts w:ascii="Open Sans" w:hAnsi="Open Sans" w:cs="Open Sans"/>
          <w:b w:val="0"/>
          <w:i w:val="0"/>
          <w:color w:val="59595B"/>
          <w:sz w:val="20"/>
        </w:rPr>
        <w:t xml:space="preserve"> that detail:</w:t>
      </w:r>
    </w:p>
    <w:p>
      <w:pPr>
        <w:spacing w:after="80" w:line="288" w:lineRule="auto"/>
      </w:pPr>
      <w:r>
        <w:rPr>
          <w:rFonts w:ascii="Open Sans" w:hAnsi="Open Sans" w:cs="Open Sans"/>
          <w:b w:val="0"/>
          <w:i w:val="0"/>
          <w:color w:val="59595B"/>
          <w:sz w:val="20"/>
        </w:rPr>
        <w:t>(a) Each support ticket addressed during the period;</w:t>
      </w:r>
    </w:p>
    <w:p>
      <w:pPr>
        <w:spacing w:after="80" w:line="288" w:lineRule="auto"/>
      </w:pPr>
      <w:r>
        <w:rPr>
          <w:rFonts w:ascii="Open Sans" w:hAnsi="Open Sans" w:cs="Open Sans"/>
          <w:b w:val="0"/>
          <w:i w:val="0"/>
          <w:color w:val="59595B"/>
          <w:sz w:val="20"/>
        </w:rPr>
        <w:t>(b) The role, resource name, and hours spent per ticket;</w:t>
      </w:r>
    </w:p>
    <w:p>
      <w:pPr>
        <w:spacing w:after="80" w:line="288" w:lineRule="auto"/>
      </w:pPr>
      <w:r>
        <w:rPr>
          <w:rFonts w:ascii="Open Sans" w:hAnsi="Open Sans" w:cs="Open Sans"/>
          <w:b w:val="0"/>
          <w:i w:val="0"/>
          <w:color w:val="59595B"/>
          <w:sz w:val="20"/>
        </w:rPr>
        <w:t>(c) Whether the work was performed during normal or after-hours;</w:t>
      </w:r>
    </w:p>
    <w:p>
      <w:pPr>
        <w:spacing w:after="80" w:line="288" w:lineRule="auto"/>
      </w:pPr>
      <w:r>
        <w:rPr>
          <w:rFonts w:ascii="Open Sans" w:hAnsi="Open Sans" w:cs="Open Sans"/>
          <w:b w:val="0"/>
          <w:i w:val="0"/>
          <w:color w:val="59595B"/>
          <w:sz w:val="20"/>
        </w:rPr>
        <w:t>(d) A description of the work performed; and</w:t>
      </w:r>
    </w:p>
    <w:p>
      <w:pPr>
        <w:spacing w:after="80" w:line="288" w:lineRule="auto"/>
      </w:pPr>
      <w:r>
        <w:rPr>
          <w:rFonts w:ascii="Open Sans" w:hAnsi="Open Sans" w:cs="Open Sans"/>
          <w:b w:val="0"/>
          <w:i w:val="0"/>
          <w:color w:val="59595B"/>
          <w:sz w:val="20"/>
        </w:rPr>
        <w:t>(e) The current running balance for each Cycle role (and the weekly hourly total for each Hourly Ad-Hoc role).</w:t>
      </w:r>
    </w:p>
    <w:p>
      <w:pPr>
        <w:spacing w:after="80" w:line="288" w:lineRule="auto"/>
      </w:pPr>
      <w:r>
        <w:rPr>
          <w:rFonts w:ascii="Open Sans" w:hAnsi="Open Sans" w:cs="Open Sans"/>
          <w:b w:val="0"/>
          <w:i w:val="0"/>
          <w:color w:val="59595B"/>
          <w:sz w:val="20"/>
        </w:rPr>
        <w:t>These weekly reports are for transparency and tracking purposes. The monthly invoice for Cycle roles reflects the billed amount per the Cycle calculation; Hourly Ad-Hoc work is billed weekly in arrears per MSA Section 3.02(d).</w:t>
      </w:r>
    </w:p>
    <w:p>
      <w:pPr>
        <w:spacing w:after="120" w:line="288" w:lineRule="auto" w:before="200"/>
      </w:pPr>
      <w:r>
        <w:rPr>
          <w:rFonts w:ascii="Open Sans" w:hAnsi="Open Sans" w:cs="Open Sans"/>
          <w:b/>
          <w:i w:val="0"/>
          <w:color w:val="1A1A2E"/>
          <w:sz w:val="28"/>
        </w:rPr>
        <w:t>3.6 New Cycle Onboarding</w:t>
      </w:r>
    </w:p>
    <w:p>
      <w:pPr>
        <w:spacing w:after="80" w:line="288" w:lineRule="auto"/>
      </w:pPr>
      <w:r>
        <w:rPr>
          <w:rFonts w:ascii="Open Sans" w:hAnsi="Open Sans" w:cs="Open Sans"/>
          <w:b w:val="0"/>
          <w:i w:val="0"/>
          <w:color w:val="59595B"/>
          <w:sz w:val="20"/>
        </w:rPr>
        <w:t>For new Cycle roles without a previous Cycle history, the initial Cycle billing shall be based on:</w:t>
      </w:r>
    </w:p>
    <w:p>
      <w:pPr>
        <w:spacing w:after="80" w:line="288" w:lineRule="auto"/>
      </w:pPr>
      <w:r>
        <w:rPr>
          <w:rFonts w:ascii="Open Sans" w:hAnsi="Open Sans" w:cs="Open Sans"/>
          <w:b w:val="0"/>
          <w:i w:val="0"/>
          <w:color w:val="59595B"/>
          <w:sz w:val="20"/>
        </w:rPr>
        <w:t>(a) A mutually agreed-upon estimated monthly hours per role, documented in the Service Order; and</w:t>
      </w:r>
    </w:p>
    <w:p>
      <w:pPr>
        <w:spacing w:after="80" w:line="288" w:lineRule="auto"/>
      </w:pPr>
      <w:r>
        <w:rPr>
          <w:rFonts w:ascii="Open Sans" w:hAnsi="Open Sans" w:cs="Open Sans"/>
          <w:b w:val="0"/>
          <w:i w:val="0"/>
          <w:color w:val="59595B"/>
          <w:sz w:val="20"/>
        </w:rPr>
        <w:t>(b) Actual usage tracking beginning immediately, with the first Cycle reconciliation occurring at the end of the initial Cycle period.</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PART 4 — SERVICE ORDER (TALY)</w:t>
      </w:r>
    </w:p>
    <w:p>
      <w:pPr>
        <w:spacing w:after="80" w:line="288" w:lineRule="auto"/>
      </w:pPr>
      <w:r>
        <w:rPr>
          <w:rFonts w:ascii="Open Sans" w:hAnsi="Open Sans" w:cs="Open Sans"/>
          <w:b/>
          <w:i w:val="0"/>
          <w:color w:val="1A1A2E"/>
          <w:sz w:val="20"/>
        </w:rPr>
        <w:t>Service Order Number:</w:t>
      </w:r>
      <w:r>
        <w:rPr>
          <w:rFonts w:ascii="Open Sans" w:hAnsi="Open Sans" w:cs="Open Sans"/>
          <w:b w:val="0"/>
          <w:i w:val="0"/>
          <w:color w:val="59595B"/>
          <w:sz w:val="20"/>
        </w:rPr>
        <w:t xml:space="preserve"> SO-TALY-2026-A </w:t>
      </w:r>
      <w:r>
        <w:rPr>
          <w:rFonts w:ascii="Open Sans" w:hAnsi="Open Sans" w:cs="Open Sans"/>
          <w:b/>
          <w:i w:val="0"/>
          <w:color w:val="1A1A2E"/>
          <w:sz w:val="20"/>
        </w:rPr>
        <w:t>Effective Date:</w:t>
      </w:r>
      <w:r>
        <w:rPr>
          <w:rFonts w:ascii="Open Sans" w:hAnsi="Open Sans" w:cs="Open Sans"/>
          <w:b w:val="0"/>
          <w:i w:val="0"/>
          <w:color w:val="59595B"/>
          <w:sz w:val="20"/>
        </w:rPr>
        <w:t xml:space="preserv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val="0"/>
          <w:color w:val="59595B"/>
          <w:sz w:val="20"/>
        </w:rPr>
        <w:t xml:space="preserve"> 2026</w:t>
      </w:r>
    </w:p>
    <w:p>
      <w:pPr>
        <w:spacing w:after="120" w:line="288" w:lineRule="auto" w:before="200"/>
      </w:pPr>
      <w:r>
        <w:rPr>
          <w:rFonts w:ascii="Open Sans" w:hAnsi="Open Sans" w:cs="Open Sans"/>
          <w:b/>
          <w:i w:val="0"/>
          <w:color w:val="1A1A2E"/>
          <w:sz w:val="28"/>
        </w:rPr>
        <w:t>4.1 Client Information</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Client Name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Talley &amp; Associates</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Client Address</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Suite 120, Laguna Hills, CA 92653</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Primary Contact</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Robert L. Evens</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Contact Email</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rob@talleyassoc.com</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Contact Phone</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(949) 380-3300</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Portal DirID</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7728</w:t>
            </w:r>
          </w:p>
        </w:tc>
      </w:tr>
    </w:tbl>
    <w:p>
      <w:pPr>
        <w:spacing w:after="80" w:line="288" w:lineRule="auto"/>
      </w:pPr>
    </w:p>
    <w:p>
      <w:pPr>
        <w:spacing w:after="120" w:line="288" w:lineRule="auto" w:before="200"/>
      </w:pPr>
      <w:r>
        <w:rPr>
          <w:rFonts w:ascii="Open Sans" w:hAnsi="Open Sans" w:cs="Open Sans"/>
          <w:b/>
          <w:i w:val="0"/>
          <w:color w:val="1A1A2E"/>
          <w:sz w:val="28"/>
        </w:rPr>
        <w:t>4.2 Online Services — Monthly Recurring</w:t>
      </w:r>
    </w:p>
    <w:p>
      <w:pPr>
        <w:spacing w:after="120" w:line="288" w:lineRule="auto" w:before="200"/>
      </w:pPr>
      <w:r>
        <w:rPr>
          <w:rFonts w:ascii="Open Sans" w:hAnsi="Open Sans" w:cs="Open Sans"/>
          <w:b/>
          <w:i w:val="0"/>
          <w:color w:val="1A1A2E"/>
          <w:sz w:val="24"/>
        </w:rPr>
        <w:t>4.2.1 Desktop Management (×7 desktops)</w:t>
      </w:r>
    </w:p>
    <w:tbl>
      <w:tblPr>
        <w:tblW w:type="auto" w:w="0"/>
        <w:tblLayout w:type="autofit"/>
        <w:tblLook w:firstColumn="1" w:firstRow="1" w:lastColumn="0" w:lastRow="0" w:noHBand="0" w:noVBand="1" w:val="04A0"/>
      </w:tblPr>
      <w:tblGrid>
        <w:gridCol w:w="1608"/>
        <w:gridCol w:w="1608"/>
        <w:gridCol w:w="1608"/>
        <w:gridCol w:w="1608"/>
        <w:gridCol w:w="1608"/>
        <w:gridCol w:w="1608"/>
      </w:tblGrid>
      <w:tr>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Qty</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 Rate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Total</w:t>
            </w:r>
          </w:p>
        </w:tc>
      </w:tr>
      <w:tr>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AVD</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 Protection — Desktop (CrowdStrike)</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$8.50</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$59.50</w:t>
            </w:r>
          </w:p>
        </w:tc>
      </w:tr>
      <w:tr>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AVMH</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AVH Protection — Desktop (Huntress)</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$42.00</w:t>
            </w:r>
          </w:p>
        </w:tc>
      </w:tr>
      <w:tr>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MR</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Remote</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$14.00</w:t>
            </w:r>
          </w:p>
        </w:tc>
      </w:tr>
      <w:tr>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PMW</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Patch Management</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$4.00</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$28.00</w:t>
            </w:r>
          </w:p>
        </w:tc>
      </w:tr>
      <w:tr>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SI</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My Secure Internet (DNS Filtering)</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desktop</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$6.00</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$42.00</w:t>
            </w:r>
          </w:p>
        </w:tc>
      </w:tr>
      <w:tr>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Subtotal</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$185.50</w:t>
            </w:r>
          </w:p>
        </w:tc>
      </w:tr>
    </w:tbl>
    <w:p>
      <w:pPr>
        <w:spacing w:after="80" w:line="288" w:lineRule="auto"/>
      </w:pPr>
    </w:p>
    <w:p>
      <w:pPr>
        <w:spacing w:after="120" w:line="288" w:lineRule="auto" w:before="200"/>
      </w:pPr>
      <w:r>
        <w:rPr>
          <w:rFonts w:ascii="Open Sans" w:hAnsi="Open Sans" w:cs="Open Sans"/>
          <w:b/>
          <w:i w:val="0"/>
          <w:color w:val="1A1A2E"/>
          <w:sz w:val="24"/>
        </w:rPr>
        <w:t>4.2.2 Network Operations (×32 devices)</w:t>
      </w:r>
    </w:p>
    <w:tbl>
      <w:tblPr>
        <w:tblW w:type="auto" w:w="0"/>
        <w:tblLayout w:type="autofit"/>
        <w:tblLook w:firstColumn="1" w:firstRow="1" w:lastColumn="0" w:lastRow="0" w:noHBand="0" w:noVBand="1" w:val="04A0"/>
      </w:tblPr>
      <w:tblGrid>
        <w:gridCol w:w="1608"/>
        <w:gridCol w:w="1608"/>
        <w:gridCol w:w="1608"/>
        <w:gridCol w:w="1608"/>
        <w:gridCol w:w="1608"/>
        <w:gridCol w:w="1608"/>
      </w:tblGrid>
      <w:tr>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Qty</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 Rate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Total</w:t>
            </w:r>
          </w:p>
        </w:tc>
      </w:tr>
      <w:tr>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SHM</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Health Monitoring (SNMP)</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32</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$64.00</w:t>
            </w:r>
          </w:p>
        </w:tc>
      </w:tr>
      <w:tr>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SSM</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Syslog Monitoring</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32</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device</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$2.00</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$64.00</w:t>
            </w:r>
          </w:p>
        </w:tc>
      </w:tr>
      <w:tr>
        <w:tc>
          <w:tcPr>
            <w:tcW w:type="dxa" w:w="1608"/>
            <w:shd w:fill="F8F9FA" w:val="clear"/>
            <w:tcBorders>
              <w:top w:val="single" w:sz="4" w:color="DEE2E6"/>
              <w:left w:val="single" w:sz="4" w:color="DEE2E6"/>
              <w:bottom w:val="single" w:sz="4" w:color="DEE2E6"/>
              <w:right w:val="single" w:sz="4" w:color="DEE2E6"/>
            </w:tcBorders>
          </w:tcPr>
          <w:p>
            <w:r/>
          </w:p>
        </w:tc>
        <w:tc>
          <w:tcPr>
            <w:tcW w:type="dxa" w:w="1608"/>
            <w:shd w:fill="F8F9FA" w:val="clear"/>
            <w:tcBorders>
              <w:top w:val="single" w:sz="4" w:color="DEE2E6"/>
              <w:left w:val="single" w:sz="4" w:color="DEE2E6"/>
              <w:bottom w:val="single" w:sz="4" w:color="DEE2E6"/>
              <w:right w:val="single" w:sz="4" w:color="DEE2E6"/>
            </w:tcBorders>
          </w:tcPr>
          <w:p>
            <w:r/>
          </w:p>
        </w:tc>
        <w:tc>
          <w:tcPr>
            <w:tcW w:type="dxa" w:w="1608"/>
            <w:shd w:fill="F8F9FA" w:val="clear"/>
            <w:tcBorders>
              <w:top w:val="single" w:sz="4" w:color="DEE2E6"/>
              <w:left w:val="single" w:sz="4" w:color="DEE2E6"/>
              <w:bottom w:val="single" w:sz="4" w:color="DEE2E6"/>
              <w:right w:val="single" w:sz="4" w:color="DEE2E6"/>
            </w:tcBorders>
          </w:tcPr>
          <w:p>
            <w:r/>
          </w:p>
        </w:tc>
        <w:tc>
          <w:tcPr>
            <w:tcW w:type="dxa" w:w="1608"/>
            <w:shd w:fill="F8F9FA" w:val="clear"/>
            <w:tcBorders>
              <w:top w:val="single" w:sz="4" w:color="DEE2E6"/>
              <w:left w:val="single" w:sz="4" w:color="DEE2E6"/>
              <w:bottom w:val="single" w:sz="4" w:color="DEE2E6"/>
              <w:right w:val="single" w:sz="4" w:color="DEE2E6"/>
            </w:tcBorders>
          </w:tcPr>
          <w:p>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Subtotal</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$128.00</w:t>
            </w:r>
          </w:p>
        </w:tc>
      </w:tr>
    </w:tbl>
    <w:p>
      <w:pPr>
        <w:spacing w:after="80" w:line="288" w:lineRule="auto"/>
      </w:pPr>
    </w:p>
    <w:p>
      <w:pPr>
        <w:spacing w:after="120" w:line="288" w:lineRule="auto" w:before="200"/>
      </w:pPr>
      <w:r>
        <w:rPr>
          <w:rFonts w:ascii="Open Sans" w:hAnsi="Open Sans" w:cs="Open Sans"/>
          <w:b/>
          <w:i w:val="0"/>
          <w:color w:val="1A1A2E"/>
          <w:sz w:val="24"/>
        </w:rPr>
        <w:t>4.2.3 Backup &amp; Recovery</w:t>
      </w:r>
    </w:p>
    <w:tbl>
      <w:tblPr>
        <w:tblW w:type="auto" w:w="0"/>
        <w:tblLayout w:type="autofit"/>
        <w:tblLook w:firstColumn="1" w:firstRow="1" w:lastColumn="0" w:lastRow="0" w:noHBand="0" w:noVBand="1" w:val="04A0"/>
      </w:tblPr>
      <w:tblGrid>
        <w:gridCol w:w="1608"/>
        <w:gridCol w:w="1608"/>
        <w:gridCol w:w="1608"/>
        <w:gridCol w:w="1608"/>
        <w:gridCol w:w="1608"/>
        <w:gridCol w:w="1608"/>
      </w:tblGrid>
      <w:tr>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Code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Service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Qty</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Unit Rate</w:t>
            </w:r>
          </w:p>
        </w:tc>
        <w:tc>
          <w:tcPr>
            <w:tcW w:type="dxa" w:w="160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Total</w:t>
            </w:r>
          </w:p>
        </w:tc>
      </w:tr>
      <w:tr>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TB-BSTR</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Backup Storage</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Per TB</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$50.00</w:t>
            </w:r>
          </w:p>
        </w:tc>
        <w:tc>
          <w:tcPr>
            <w:tcW w:type="dxa" w:w="160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$50.00</w:t>
            </w:r>
          </w:p>
        </w:tc>
      </w:tr>
      <w:tr>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Subtotal</w:t>
            </w:r>
          </w:p>
        </w:tc>
        <w:tc>
          <w:tcPr>
            <w:tcW w:type="dxa" w:w="160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$50.00</w:t>
            </w:r>
          </w:p>
        </w:tc>
      </w:tr>
    </w:tbl>
    <w:p>
      <w:pPr>
        <w:spacing w:after="80" w:line="288" w:lineRule="auto"/>
      </w:pPr>
    </w:p>
    <w:p>
      <w:pPr>
        <w:spacing w:after="120" w:line="288" w:lineRule="auto" w:before="80"/>
        <w:ind w:left="432"/>
      </w:pPr>
      <w:r>
        <w:rPr>
          <w:rFonts w:ascii="Open Sans" w:hAnsi="Open Sans" w:cs="Open Sans"/>
          <w:b/>
          <w:i w:val="0"/>
          <w:color w:val="1A1A2E"/>
          <w:sz w:val="20"/>
        </w:rPr>
        <w:t>Note on prior services NOT continued under this Agreement:</w:t>
      </w:r>
      <w:r>
        <w:rPr>
          <w:rFonts w:ascii="Open Sans" w:hAnsi="Open Sans" w:cs="Open Sans"/>
          <w:b w:val="0"/>
          <w:i w:val="0"/>
          <w:color w:val="1A1A2E"/>
          <w:sz w:val="20"/>
        </w:rPr>
        <w:t xml:space="preserve"> Real-Time Penetration Testing (RTPT, $42.00/mo for 6 IPs) and Site Assessment (SA, $50.00/mo for 1 domain) were billed under the predecessor "Monthly Support" contract and are </w:t>
      </w:r>
      <w:r>
        <w:rPr>
          <w:rFonts w:ascii="Open Sans" w:hAnsi="Open Sans" w:cs="Open Sans"/>
          <w:b/>
          <w:i w:val="0"/>
          <w:color w:val="1A1A2E"/>
          <w:sz w:val="20"/>
        </w:rPr>
        <w:t>not included</w:t>
      </w:r>
      <w:r>
        <w:rPr>
          <w:rFonts w:ascii="Open Sans" w:hAnsi="Open Sans" w:cs="Open Sans"/>
          <w:b w:val="0"/>
          <w:i w:val="0"/>
          <w:color w:val="1A1A2E"/>
          <w:sz w:val="20"/>
        </w:rPr>
        <w:t xml:space="preserve"> in this Service Order. Client acknowledges these external-attack-surface security controls have been removed at Client's direction. Either may be re-added at any time at then-current Schedule C rates by amending this Service Order.</w:t>
      </w:r>
    </w:p>
    <w:p>
      <w:pPr>
        <w:spacing w:after="120" w:line="288" w:lineRule="auto" w:before="200"/>
      </w:pPr>
      <w:r>
        <w:rPr>
          <w:rFonts w:ascii="Open Sans" w:hAnsi="Open Sans" w:cs="Open Sans"/>
          <w:b/>
          <w:i w:val="0"/>
          <w:color w:val="1A1A2E"/>
          <w:sz w:val="28"/>
        </w:rPr>
        <w:t>4.3 Virtual Staff — Service Order</w:t>
      </w:r>
    </w:p>
    <w:tbl>
      <w:tblPr>
        <w:tblW w:type="auto" w:w="0"/>
        <w:tblLayout w:type="autofit"/>
        <w:tblLook w:firstColumn="1" w:firstRow="1" w:lastColumn="0" w:lastRow="0" w:noHBand="0" w:noVBand="1" w:val="04A0"/>
      </w:tblPr>
      <w:tblGrid>
        <w:gridCol w:w="1378"/>
        <w:gridCol w:w="1378"/>
        <w:gridCol w:w="1378"/>
        <w:gridCol w:w="1378"/>
        <w:gridCol w:w="1378"/>
        <w:gridCol w:w="1378"/>
        <w:gridCol w:w="1378"/>
      </w:tblGrid>
      <w:tr>
        <w:tc>
          <w:tcPr>
            <w:tcW w:type="dxa" w:w="137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Role</w:t>
            </w:r>
          </w:p>
        </w:tc>
        <w:tc>
          <w:tcPr>
            <w:tcW w:type="dxa" w:w="137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Location / Shift</w:t>
            </w:r>
          </w:p>
        </w:tc>
        <w:tc>
          <w:tcPr>
            <w:tcW w:type="dxa" w:w="137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Billing Mode</w:t>
            </w:r>
          </w:p>
        </w:tc>
        <w:tc>
          <w:tcPr>
            <w:tcW w:type="dxa" w:w="137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Cycle Length</w:t>
            </w:r>
          </w:p>
        </w:tc>
        <w:tc>
          <w:tcPr>
            <w:tcW w:type="dxa" w:w="137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Est. Monthly Hours</w:t>
            </w:r>
          </w:p>
        </w:tc>
        <w:tc>
          <w:tcPr>
            <w:tcW w:type="dxa" w:w="137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Rate</w:t>
            </w:r>
          </w:p>
        </w:tc>
        <w:tc>
          <w:tcPr>
            <w:tcW w:type="dxa" w:w="1378"/>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Est. Monthly Cost</w:t>
            </w:r>
          </w:p>
        </w:tc>
      </w:tr>
      <w:tr>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India — Night (US Business Hours)</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Cycle</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 months</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2.75</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$15.00 / hr (Contracted)</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$41.25</w:t>
            </w:r>
          </w:p>
        </w:tc>
      </w:tr>
      <w:tr>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India — Day (US After-Hours)</w:t>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Cycle</w:t>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 months</w:t>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1.85</w:t>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$30.00 / hr (Contracted)</w:t>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$55.50</w:t>
            </w:r>
          </w:p>
        </w:tc>
      </w:tr>
      <w:tr>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Tech Support</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United States (Remote, Normal &amp; After-Hours)</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Hourly (Ad-Hoc)</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n/a</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 used</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$150.00 / hr Normal · $250.00 / hr After-Hours</w:t>
            </w:r>
          </w:p>
        </w:tc>
        <w:tc>
          <w:tcPr>
            <w:tcW w:type="dxa" w:w="1378"/>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as used</w:t>
            </w:r>
          </w:p>
        </w:tc>
      </w:tr>
      <w:tr>
        <w:tc>
          <w:tcPr>
            <w:tcW w:type="dxa" w:w="1378"/>
            <w:shd w:fill="FFFFFF" w:val="clear"/>
            <w:tcBorders>
              <w:top w:val="single" w:sz="4" w:color="DEE2E6"/>
              <w:left w:val="single" w:sz="4" w:color="DEE2E6"/>
              <w:bottom w:val="single" w:sz="4" w:color="DEE2E6"/>
              <w:right w:val="single" w:sz="4" w:color="DEE2E6"/>
            </w:tcBorders>
          </w:tcPr>
          <w:p>
            <w:r/>
          </w:p>
        </w:tc>
        <w:tc>
          <w:tcPr>
            <w:tcW w:type="dxa" w:w="1378"/>
            <w:shd w:fill="FFFFFF" w:val="clear"/>
            <w:tcBorders>
              <w:top w:val="single" w:sz="4" w:color="DEE2E6"/>
              <w:left w:val="single" w:sz="4" w:color="DEE2E6"/>
              <w:bottom w:val="single" w:sz="4" w:color="DEE2E6"/>
              <w:right w:val="single" w:sz="4" w:color="DEE2E6"/>
            </w:tcBorders>
          </w:tcPr>
          <w:p>
            <w:r/>
          </w:p>
        </w:tc>
        <w:tc>
          <w:tcPr>
            <w:tcW w:type="dxa" w:w="1378"/>
            <w:shd w:fill="FFFFFF" w:val="clear"/>
            <w:tcBorders>
              <w:top w:val="single" w:sz="4" w:color="DEE2E6"/>
              <w:left w:val="single" w:sz="4" w:color="DEE2E6"/>
              <w:bottom w:val="single" w:sz="4" w:color="DEE2E6"/>
              <w:right w:val="single" w:sz="4" w:color="DEE2E6"/>
            </w:tcBorders>
          </w:tcPr>
          <w:p>
            <w:r/>
          </w:p>
        </w:tc>
        <w:tc>
          <w:tcPr>
            <w:tcW w:type="dxa" w:w="1378"/>
            <w:shd w:fill="FFFFFF" w:val="clear"/>
            <w:tcBorders>
              <w:top w:val="single" w:sz="4" w:color="DEE2E6"/>
              <w:left w:val="single" w:sz="4" w:color="DEE2E6"/>
              <w:bottom w:val="single" w:sz="4" w:color="DEE2E6"/>
              <w:right w:val="single" w:sz="4" w:color="DEE2E6"/>
            </w:tcBorders>
          </w:tcPr>
          <w:p>
            <w:r/>
          </w:p>
        </w:tc>
        <w:tc>
          <w:tcPr>
            <w:tcW w:type="dxa" w:w="1378"/>
            <w:shd w:fill="FFFFFF" w:val="clear"/>
            <w:tcBorders>
              <w:top w:val="single" w:sz="4" w:color="DEE2E6"/>
              <w:left w:val="single" w:sz="4" w:color="DEE2E6"/>
              <w:bottom w:val="single" w:sz="4" w:color="DEE2E6"/>
              <w:right w:val="single" w:sz="4" w:color="DEE2E6"/>
            </w:tcBorders>
          </w:tcPr>
          <w:p>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Committed Subtotal</w:t>
            </w:r>
          </w:p>
        </w:tc>
        <w:tc>
          <w:tcPr>
            <w:tcW w:type="dxa" w:w="1378"/>
            <w:shd w:fill="FFFFFF"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$96.75</w:t>
            </w:r>
          </w:p>
        </w:tc>
      </w:tr>
    </w:tbl>
    <w:p>
      <w:pPr>
        <w:spacing w:after="80" w:line="288" w:lineRule="auto"/>
      </w:pPr>
    </w:p>
    <w:p>
      <w:pPr>
        <w:spacing w:after="80" w:line="288" w:lineRule="auto"/>
      </w:pPr>
      <w:r>
        <w:rPr>
          <w:rFonts w:ascii="Open Sans" w:hAnsi="Open Sans" w:cs="Open Sans"/>
          <w:b/>
          <w:i w:val="0"/>
          <w:color w:val="1A1A2E"/>
          <w:sz w:val="20"/>
        </w:rPr>
        <w:t>Initial Cycle Period:</w:t>
      </w:r>
      <w:r>
        <w:rPr>
          <w:rFonts w:ascii="Open Sans" w:hAnsi="Open Sans" w:cs="Open Sans"/>
          <w:b w:val="0"/>
          <w:i w:val="0"/>
          <w:color w:val="59595B"/>
          <w:sz w:val="20"/>
        </w:rPr>
        <w:t xml:space="preserve"> 3 months from Effective Date.</w:t>
      </w:r>
    </w:p>
    <w:p>
      <w:pPr>
        <w:spacing w:after="80" w:line="288" w:lineRule="auto"/>
      </w:pPr>
      <w:r>
        <w:rPr>
          <w:rFonts w:ascii="Open Sans" w:hAnsi="Open Sans" w:cs="Open Sans"/>
          <w:b/>
          <w:i w:val="0"/>
          <w:color w:val="1A1A2E"/>
          <w:sz w:val="20"/>
        </w:rPr>
        <w:t>Notes:</w:t>
      </w:r>
    </w:p>
    <w:p>
      <w:pPr>
        <w:spacing w:after="80" w:line="288" w:lineRule="auto"/>
      </w:pPr>
      <w:r>
        <w:rPr>
          <w:rFonts w:ascii="Open Sans" w:hAnsi="Open Sans" w:cs="Open Sans"/>
          <w:b w:val="0"/>
          <w:i w:val="0"/>
          <w:color w:val="59595B"/>
          <w:sz w:val="20"/>
        </w:rPr>
        <w:t xml:space="preserve">(a) US Tech Support work is billed </w:t>
      </w:r>
      <w:r>
        <w:rPr>
          <w:rFonts w:ascii="Open Sans" w:hAnsi="Open Sans" w:cs="Open Sans"/>
          <w:b/>
          <w:i w:val="0"/>
          <w:color w:val="1A1A2E"/>
          <w:sz w:val="20"/>
        </w:rPr>
        <w:t>hourly (ad-hoc)</w:t>
      </w:r>
      <w:r>
        <w:rPr>
          <w:rFonts w:ascii="Open Sans" w:hAnsi="Open Sans" w:cs="Open Sans"/>
          <w:b w:val="0"/>
          <w:i w:val="0"/>
          <w:color w:val="59595B"/>
          <w:sz w:val="20"/>
        </w:rPr>
        <w:t xml:space="preserve"> under Section 3.4 of this Schedule. There is no monthly commitment for US Tech Support; Client pays for time actually consumed at the Schedule C Hourly Rate (Normal $150.00 / After-Hours $250.00), in 15-minute increments, on the weekly out-of-contract invoice (MSA Section 3.02(d)). The prior Cycle commitment of 1.38 hours/month at $125.00/hr is </w:t>
      </w:r>
      <w:r>
        <w:rPr>
          <w:rFonts w:ascii="Open Sans" w:hAnsi="Open Sans" w:cs="Open Sans"/>
          <w:b/>
          <w:i w:val="0"/>
          <w:color w:val="1A1A2E"/>
          <w:sz w:val="20"/>
        </w:rPr>
        <w:t>discontinued</w:t>
      </w:r>
      <w:r>
        <w:rPr>
          <w:rFonts w:ascii="Open Sans" w:hAnsi="Open Sans" w:cs="Open Sans"/>
          <w:b w:val="0"/>
          <w:i w:val="0"/>
          <w:color w:val="59595B"/>
          <w:sz w:val="20"/>
        </w:rPr>
        <w:t xml:space="preserve"> under this Agreement.</w:t>
      </w:r>
    </w:p>
    <w:p>
      <w:pPr>
        <w:spacing w:after="80" w:line="288" w:lineRule="auto"/>
      </w:pPr>
      <w:r>
        <w:rPr>
          <w:rFonts w:ascii="Open Sans" w:hAnsi="Open Sans" w:cs="Open Sans"/>
          <w:b w:val="0"/>
          <w:i w:val="0"/>
          <w:color w:val="59595B"/>
          <w:sz w:val="20"/>
        </w:rPr>
        <w:t>(b) India Tech Support — Night and India Tech Support — Day remain on the Cycle model. Initial monthly hours (2.75 N / 1.85 AH) reflect average actual usage in the prior Cycle. Monthly billed hours will be re-baselined at each Cycle reconciliation per Section 3.3(b).</w:t>
      </w:r>
    </w:p>
    <w:p>
      <w:pPr>
        <w:spacing w:after="80" w:line="288" w:lineRule="auto"/>
      </w:pPr>
      <w:r>
        <w:rPr>
          <w:rFonts w:ascii="Open Sans" w:hAnsi="Open Sans" w:cs="Open Sans"/>
          <w:b w:val="0"/>
          <w:i w:val="0"/>
          <w:color w:val="59595B"/>
          <w:sz w:val="20"/>
        </w:rPr>
        <w:t>(c) On-site support (US), Emergency / Critical Response, Project Management, and Developer roles are not currently subscribed but are available at the rates in Schedule C if requested.</w:t>
      </w:r>
    </w:p>
    <w:p>
      <w:pPr>
        <w:spacing w:after="120" w:line="288" w:lineRule="auto" w:before="200"/>
      </w:pPr>
      <w:r>
        <w:rPr>
          <w:rFonts w:ascii="Open Sans" w:hAnsi="Open Sans" w:cs="Open Sans"/>
          <w:b/>
          <w:i w:val="0"/>
          <w:color w:val="1A1A2E"/>
          <w:sz w:val="28"/>
        </w:rPr>
        <w:t>4.4 Subscription Services (Schedule B)</w:t>
      </w:r>
    </w:p>
    <w:p>
      <w:pPr>
        <w:spacing w:after="80" w:line="288" w:lineRule="auto"/>
      </w:pPr>
      <w:r>
        <w:rPr>
          <w:rFonts w:ascii="Open Sans" w:hAnsi="Open Sans" w:cs="Open Sans"/>
          <w:b w:val="0"/>
          <w:i w:val="0"/>
          <w:color w:val="59595B"/>
          <w:sz w:val="20"/>
        </w:rPr>
        <w:t>None active at execution. See Schedule B for available subscription categories. Future subscriptions to be added by Subscription Order under Schedule B.</w:t>
      </w:r>
    </w:p>
    <w:p>
      <w:pPr>
        <w:spacing w:after="120" w:line="288" w:lineRule="auto" w:before="200"/>
      </w:pPr>
      <w:r>
        <w:rPr>
          <w:rFonts w:ascii="Open Sans" w:hAnsi="Open Sans" w:cs="Open Sans"/>
          <w:b/>
          <w:i w:val="0"/>
          <w:color w:val="1A1A2E"/>
          <w:sz w:val="28"/>
        </w:rPr>
        <w:t>4.5 Monthly Recurring Totals</w:t>
      </w:r>
    </w:p>
    <w:tbl>
      <w:tblPr>
        <w:tblW w:type="auto" w:w="0"/>
        <w:tblLayout w:type="autofit"/>
        <w:tblLook w:firstColumn="1" w:firstRow="1" w:lastColumn="0" w:lastRow="0" w:noHBand="0" w:noVBand="1" w:val="04A0"/>
      </w:tblPr>
      <w:tblGrid>
        <w:gridCol w:w="4824"/>
        <w:gridCol w:w="4824"/>
      </w:tblGrid>
      <w:tr>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Category</w:t>
            </w:r>
          </w:p>
        </w:tc>
        <w:tc>
          <w:tcPr>
            <w:tcW w:type="dxa" w:w="4824"/>
            <w:vAlign w:val="center"/>
            <w:shd w:fill="006DB6" w:val="clear"/>
            <w:tcBorders>
              <w:top w:val="single" w:sz="4" w:color="006DB6"/>
              <w:left w:val="single" w:sz="4" w:color="006DB6"/>
              <w:bottom w:val="single" w:sz="4" w:color="006DB6"/>
              <w:right w:val="single" w:sz="4" w:color="006DB6"/>
            </w:tcBorders>
          </w:tcPr>
          <w:p>
            <w:r/>
            <w:r>
              <w:rPr>
                <w:rFonts w:ascii="Open Sans" w:hAnsi="Open Sans" w:cs="Open Sans"/>
                <w:b/>
                <w:i w:val="0"/>
                <w:color w:val="FFFFFF"/>
                <w:sz w:val="20"/>
              </w:rPr>
              <w:t>Monthly Total</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Desktop Management</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$185.50</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Network Operations</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$128.00</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Backup &amp; Recovery</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$50.00</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Virtual Staff — Cycle (committed)</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$96.75</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Monthly Recurring Subtotal</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$460.25</w:t>
            </w:r>
          </w:p>
        </w:tc>
      </w:tr>
      <w:tr>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Estimated Sales Tax (per applicable rate)</w:t>
            </w:r>
          </w:p>
        </w:tc>
        <w:tc>
          <w:tcPr>
            <w:tcW w:type="dxa" w:w="4824"/>
            <w:shd w:fill="FFFFFF" w:val="clear"/>
            <w:tcBorders>
              <w:top w:val="single" w:sz="4" w:color="DEE2E6"/>
              <w:left w:val="single" w:sz="4" w:color="DEE2E6"/>
              <w:bottom w:val="single" w:sz="4" w:color="DEE2E6"/>
              <w:right w:val="single" w:sz="4" w:color="DEE2E6"/>
            </w:tcBorders>
          </w:tcPr>
          <w:p>
            <w:r/>
            <w:r>
              <w:rPr>
                <w:rFonts w:ascii="Open Sans" w:hAnsi="Open Sans" w:cs="Open Sans"/>
                <w:b w:val="0"/>
                <w:i w:val="0"/>
                <w:color w:val="59595B"/>
                <w:sz w:val="20"/>
              </w:rPr>
              <w:t>$7.75</w:t>
            </w:r>
          </w:p>
        </w:tc>
      </w:tr>
      <w:tr>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Estimated Monthly Recurring Total</w:t>
            </w:r>
          </w:p>
        </w:tc>
        <w:tc>
          <w:tcPr>
            <w:tcW w:type="dxa" w:w="4824"/>
            <w:shd w:fill="F8F9FA" w:val="clear"/>
            <w:tcBorders>
              <w:top w:val="single" w:sz="4" w:color="DEE2E6"/>
              <w:left w:val="single" w:sz="4" w:color="DEE2E6"/>
              <w:bottom w:val="single" w:sz="4" w:color="DEE2E6"/>
              <w:right w:val="single" w:sz="4" w:color="DEE2E6"/>
            </w:tcBorders>
          </w:tcPr>
          <w:p>
            <w:r/>
            <w:r>
              <w:rPr>
                <w:rFonts w:ascii="Open Sans" w:hAnsi="Open Sans" w:cs="Open Sans"/>
                <w:b/>
                <w:i w:val="0"/>
                <w:color w:val="1A1A2E"/>
                <w:sz w:val="20"/>
              </w:rPr>
              <w:t>~$468.00</w:t>
            </w:r>
          </w:p>
        </w:tc>
      </w:tr>
    </w:tbl>
    <w:p>
      <w:pPr>
        <w:spacing w:after="80" w:line="288" w:lineRule="auto"/>
      </w:pPr>
    </w:p>
    <w:p>
      <w:pPr>
        <w:spacing w:after="80" w:line="288" w:lineRule="auto"/>
      </w:pPr>
      <w:r>
        <w:rPr>
          <w:rFonts w:ascii="Open Sans" w:hAnsi="Open Sans" w:cs="Open Sans"/>
          <w:b/>
          <w:i w:val="0"/>
          <w:color w:val="1A1A2E"/>
          <w:sz w:val="20"/>
        </w:rPr>
        <w:t>Plus, billed weekly in arrears (out-of-contract):</w:t>
      </w:r>
      <w:r>
        <w:rPr>
          <w:rFonts w:ascii="Open Sans" w:hAnsi="Open Sans" w:cs="Open Sans"/>
          <w:b w:val="0"/>
          <w:i w:val="0"/>
          <w:color w:val="59595B"/>
          <w:sz w:val="20"/>
        </w:rPr>
        <w:t xml:space="preserve"> US Tech Support ad-hoc time at Schedule C Hourly Rates, in 15-minute increments. Based on Client's prior 16-month average actual usage of 0.90 hours/month of US Remote (Normal) tech support, the </w:t>
      </w:r>
      <w:r>
        <w:rPr>
          <w:rFonts w:ascii="Open Sans" w:hAnsi="Open Sans" w:cs="Open Sans"/>
          <w:b/>
          <w:i w:val="0"/>
          <w:color w:val="1A1A2E"/>
          <w:sz w:val="20"/>
        </w:rPr>
        <w:t>expected ad-hoc cost</w:t>
      </w:r>
      <w:r>
        <w:rPr>
          <w:rFonts w:ascii="Open Sans" w:hAnsi="Open Sans" w:cs="Open Sans"/>
          <w:b w:val="0"/>
          <w:i w:val="0"/>
          <w:color w:val="59595B"/>
          <w:sz w:val="20"/>
        </w:rPr>
        <w:t xml:space="preserve"> is approximately $135.00/month, for a </w:t>
      </w:r>
      <w:r>
        <w:rPr>
          <w:rFonts w:ascii="Open Sans" w:hAnsi="Open Sans" w:cs="Open Sans"/>
          <w:b/>
          <w:i w:val="0"/>
          <w:color w:val="1A1A2E"/>
          <w:sz w:val="20"/>
        </w:rPr>
        <w:t>blended estimated monthly cost of approximately $603.00</w:t>
      </w:r>
      <w:r>
        <w:rPr>
          <w:rFonts w:ascii="Open Sans" w:hAnsi="Open Sans" w:cs="Open Sans"/>
          <w:b w:val="0"/>
          <w:i w:val="0"/>
          <w:color w:val="59595B"/>
          <w:sz w:val="20"/>
        </w:rPr>
        <w:t>, inclusive of tax. Actual ad-hoc charges will vary with actual usage.</w:t>
      </w:r>
    </w:p>
    <w:p>
      <w:pPr>
        <w:spacing w:after="80" w:line="288" w:lineRule="auto"/>
      </w:pPr>
      <w:r>
        <w:rPr>
          <w:rFonts w:ascii="Open Sans" w:hAnsi="Open Sans" w:cs="Open Sans"/>
          <w:b/>
          <w:i w:val="0"/>
          <w:color w:val="1A1A2E"/>
          <w:sz w:val="20"/>
        </w:rPr>
        <w:t>Comparison to Prior "Monthly Support" Contract</w:t>
      </w:r>
      <w:r>
        <w:rPr>
          <w:rFonts w:ascii="Open Sans" w:hAnsi="Open Sans" w:cs="Open Sans"/>
          <w:b w:val="0"/>
          <w:i w:val="0"/>
          <w:color w:val="59595B"/>
          <w:sz w:val="20"/>
        </w:rPr>
        <w:t xml:space="preserve"> (most recent monthly invoice #28363, May 1, 2026, for service period June 2026): $724.75. New estimated steady-state run-rate (~$603/mo blended) represents an estimated reduction of </w:t>
      </w:r>
      <w:r>
        <w:rPr>
          <w:rFonts w:ascii="Open Sans" w:hAnsi="Open Sans" w:cs="Open Sans"/>
          <w:b/>
          <w:i w:val="0"/>
          <w:color w:val="1A1A2E"/>
          <w:sz w:val="20"/>
        </w:rPr>
        <w:t>approximately $122/month (≈17%)</w:t>
      </w:r>
      <w:r>
        <w:rPr>
          <w:rFonts w:ascii="Open Sans" w:hAnsi="Open Sans" w:cs="Open Sans"/>
          <w:b w:val="0"/>
          <w:i w:val="0"/>
          <w:color w:val="59595B"/>
          <w:sz w:val="20"/>
        </w:rPr>
        <w:t xml:space="preserve"> at average usage, and a </w:t>
      </w:r>
      <w:r>
        <w:rPr>
          <w:rFonts w:ascii="Open Sans" w:hAnsi="Open Sans" w:cs="Open Sans"/>
          <w:b/>
          <w:i w:val="0"/>
          <w:color w:val="1A1A2E"/>
          <w:sz w:val="20"/>
        </w:rPr>
        <w:t>$256.75/month (≈35%) reduction</w:t>
      </w:r>
      <w:r>
        <w:rPr>
          <w:rFonts w:ascii="Open Sans" w:hAnsi="Open Sans" w:cs="Open Sans"/>
          <w:b w:val="0"/>
          <w:i w:val="0"/>
          <w:color w:val="59595B"/>
          <w:sz w:val="20"/>
        </w:rPr>
        <w:t xml:space="preserve"> in the visible recurring monthly invoice (i.e., before any ad-hoc US Tech Support consumption in a given month).</w:t>
      </w:r>
    </w:p>
    <w:p>
      <w:pPr>
        <w:spacing w:after="120" w:line="288" w:lineRule="auto" w:before="200"/>
      </w:pPr>
      <w:r>
        <w:rPr>
          <w:rFonts w:ascii="Open Sans" w:hAnsi="Open Sans" w:cs="Open Sans"/>
          <w:b/>
          <w:i w:val="0"/>
          <w:color w:val="1A1A2E"/>
          <w:sz w:val="28"/>
        </w:rPr>
        <w:t>4.6 One-Time Setup Fees</w:t>
      </w:r>
    </w:p>
    <w:p>
      <w:pPr>
        <w:spacing w:after="80" w:line="288" w:lineRule="auto"/>
      </w:pPr>
      <w:r>
        <w:rPr>
          <w:rFonts w:ascii="Open Sans" w:hAnsi="Open Sans" w:cs="Open Sans"/>
          <w:b w:val="0"/>
          <w:i w:val="0"/>
          <w:color w:val="59595B"/>
          <w:sz w:val="20"/>
        </w:rPr>
        <w:t>None.</w:t>
      </w:r>
    </w:p>
    <w:p>
      <w:pPr>
        <w:spacing w:after="120" w:line="288" w:lineRule="auto" w:before="200"/>
      </w:pPr>
      <w:r>
        <w:rPr>
          <w:rFonts w:ascii="Open Sans" w:hAnsi="Open Sans" w:cs="Open Sans"/>
          <w:b/>
          <w:i w:val="0"/>
          <w:color w:val="1A1A2E"/>
          <w:sz w:val="28"/>
        </w:rPr>
        <w:t>4.7 Service Commencement Date</w:t>
      </w:r>
    </w:p>
    <w:p>
      <w:pPr>
        <w:spacing w:after="80" w:line="288" w:lineRule="auto"/>
      </w:pPr>
      <w:r>
        <w:rPr>
          <w:rFonts w:ascii="Open Sans" w:hAnsi="Open Sans" w:cs="Open Sans"/>
          <w:b w:val="0"/>
          <w:i w:val="0"/>
          <w:color w:val="59595B"/>
          <w:sz w:val="20"/>
        </w:rPr>
        <w:t>Services under this Service Order shall commence on the Effective Date of this Schedule.</w:t>
      </w:r>
    </w:p>
    <w:p>
      <w:pPr>
        <w:spacing w:after="120" w:line="288" w:lineRule="auto" w:before="200"/>
      </w:pPr>
      <w:r>
        <w:rPr>
          <w:rFonts w:ascii="Open Sans" w:hAnsi="Open Sans" w:cs="Open Sans"/>
          <w:b/>
          <w:i w:val="0"/>
          <w:color w:val="1A1A2E"/>
          <w:sz w:val="28"/>
        </w:rPr>
        <w:t>4.8 Special Terms</w:t>
      </w:r>
    </w:p>
    <w:p>
      <w:pPr>
        <w:spacing w:after="80" w:line="288" w:lineRule="auto"/>
      </w:pPr>
      <w:r>
        <w:rPr>
          <w:rFonts w:ascii="Open Sans" w:hAnsi="Open Sans" w:cs="Open Sans"/>
          <w:b w:val="0"/>
          <w:i w:val="0"/>
          <w:color w:val="59595B"/>
          <w:sz w:val="20"/>
        </w:rPr>
        <w:t xml:space="preserve">(a) </w:t>
      </w:r>
      <w:r>
        <w:rPr>
          <w:rFonts w:ascii="Open Sans" w:hAnsi="Open Sans" w:cs="Open Sans"/>
          <w:b/>
          <w:i w:val="0"/>
          <w:color w:val="1A1A2E"/>
          <w:sz w:val="20"/>
        </w:rPr>
        <w:t>Carry-Forward of Cycle Balance.</w:t>
      </w:r>
      <w:r>
        <w:rPr>
          <w:rFonts w:ascii="Open Sans" w:hAnsi="Open Sans" w:cs="Open Sans"/>
          <w:b w:val="0"/>
          <w:i w:val="0"/>
          <w:color w:val="59595B"/>
          <w:sz w:val="20"/>
        </w:rPr>
        <w:t xml:space="preserve"> Any net negative running balance (credit) on the India Tech Support — Night or India Tech Support — Day roles existing under the predecessor Monthly Support contract (Contract ID 5185) as of the Effective Date will carry forward to the first Cycle under this Service Order, subject to the cap in Section 3.3(e)(2).</w:t>
      </w:r>
    </w:p>
    <w:p>
      <w:pPr>
        <w:spacing w:after="80" w:line="288" w:lineRule="auto"/>
      </w:pPr>
      <w:r>
        <w:rPr>
          <w:rFonts w:ascii="Open Sans" w:hAnsi="Open Sans" w:cs="Open Sans"/>
          <w:b w:val="0"/>
          <w:i w:val="0"/>
          <w:color w:val="59595B"/>
          <w:sz w:val="20"/>
        </w:rPr>
        <w:t xml:space="preserve">(b) </w:t>
      </w:r>
      <w:r>
        <w:rPr>
          <w:rFonts w:ascii="Open Sans" w:hAnsi="Open Sans" w:cs="Open Sans"/>
          <w:b/>
          <w:i w:val="0"/>
          <w:color w:val="1A1A2E"/>
          <w:sz w:val="20"/>
        </w:rPr>
        <w:t>Open AR Carve-Out.</w:t>
      </w:r>
      <w:r>
        <w:rPr>
          <w:rFonts w:ascii="Open Sans" w:hAnsi="Open Sans" w:cs="Open Sans"/>
          <w:b w:val="0"/>
          <w:i w:val="0"/>
          <w:color w:val="59595B"/>
          <w:sz w:val="20"/>
        </w:rPr>
        <w:t xml:space="preserve"> This Service Order does not waive or settle any unpaid balance on prior invoices, including the partially-paid invoice #27954 (March 2026 monthly). The Parties shall reconcile any outstanding amounts in accordance with the prior contract and the MSA payment provisions.</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GENERAL TERMS FOR THIS SCHEDULE</w:t>
      </w:r>
    </w:p>
    <w:p>
      <w:pPr>
        <w:spacing w:after="120" w:line="288" w:lineRule="auto" w:before="200"/>
      </w:pPr>
      <w:r>
        <w:rPr>
          <w:rFonts w:ascii="Open Sans" w:hAnsi="Open Sans" w:cs="Open Sans"/>
          <w:b/>
          <w:i w:val="0"/>
          <w:color w:val="1A1A2E"/>
          <w:sz w:val="28"/>
        </w:rPr>
        <w:t>Changes to Services</w:t>
      </w:r>
    </w:p>
    <w:p>
      <w:pPr>
        <w:spacing w:after="80" w:line="288" w:lineRule="auto"/>
      </w:pPr>
      <w:r>
        <w:rPr>
          <w:rFonts w:ascii="Open Sans" w:hAnsi="Open Sans" w:cs="Open Sans"/>
          <w:b w:val="0"/>
          <w:i w:val="0"/>
          <w:color w:val="59595B"/>
          <w:sz w:val="20"/>
        </w:rPr>
        <w:t xml:space="preserve">Either Party may request changes to the services described in this Schedule by providing </w:t>
      </w:r>
      <w:r>
        <w:rPr>
          <w:rFonts w:ascii="Open Sans" w:hAnsi="Open Sans" w:cs="Open Sans"/>
          <w:b/>
          <w:i w:val="0"/>
          <w:color w:val="1A1A2E"/>
          <w:sz w:val="20"/>
        </w:rPr>
        <w:t>thirty (30) days</w:t>
      </w:r>
      <w:r>
        <w:rPr>
          <w:rFonts w:ascii="Open Sans" w:hAnsi="Open Sans" w:cs="Open Sans"/>
          <w:b w:val="0"/>
          <w:i w:val="0"/>
          <w:color w:val="59595B"/>
          <w:sz w:val="20"/>
        </w:rPr>
        <w:t xml:space="preserve"> written notice. Changes to quantities, roles, or service levels shall be documented in an updated Service Order signed by both Parties.</w:t>
      </w:r>
    </w:p>
    <w:p>
      <w:pPr>
        <w:spacing w:after="120" w:line="288" w:lineRule="auto" w:before="200"/>
      </w:pPr>
      <w:r>
        <w:rPr>
          <w:rFonts w:ascii="Open Sans" w:hAnsi="Open Sans" w:cs="Open Sans"/>
          <w:b/>
          <w:i w:val="0"/>
          <w:color w:val="1A1A2E"/>
          <w:sz w:val="28"/>
        </w:rPr>
        <w:t>Payment and Collection</w:t>
      </w:r>
    </w:p>
    <w:p>
      <w:pPr>
        <w:spacing w:after="80" w:line="288" w:lineRule="auto"/>
      </w:pPr>
      <w:r>
        <w:rPr>
          <w:rFonts w:ascii="Open Sans" w:hAnsi="Open Sans" w:cs="Open Sans"/>
          <w:b w:val="0"/>
          <w:i w:val="0"/>
          <w:color w:val="59595B"/>
          <w:sz w:val="20"/>
        </w:rPr>
        <w:t>All payment terms, late fees, acceleration rights, collection costs, attorney's fees, lien rights, and other payment enforcement provisions set forth in Sections 3.04 through 3.10 and Section 8.04 of the Master Service Agreement apply in full to all services under this Schedule. In the event of non-payment, Technijian may suspend services in accordance with Section 3.06 of the MSA, which provides for suspension of the specific service associated with the unpaid invoice after thirty (30) days past due, and suspension of all services across Schedules and SOWs after sixty (60) days past due.</w:t>
      </w:r>
    </w:p>
    <w:p>
      <w:pPr>
        <w:spacing w:after="120" w:line="288" w:lineRule="auto" w:before="200"/>
      </w:pPr>
      <w:r>
        <w:rPr>
          <w:rFonts w:ascii="Open Sans" w:hAnsi="Open Sans" w:cs="Open Sans"/>
          <w:b/>
          <w:i w:val="0"/>
          <w:color w:val="1A1A2E"/>
          <w:sz w:val="28"/>
        </w:rPr>
        <w:t>Pricing Adjustments</w:t>
      </w:r>
    </w:p>
    <w:p>
      <w:pPr>
        <w:spacing w:after="80" w:line="288" w:lineRule="auto"/>
      </w:pPr>
      <w:r>
        <w:rPr>
          <w:rFonts w:ascii="Open Sans" w:hAnsi="Open Sans" w:cs="Open Sans"/>
          <w:b w:val="0"/>
          <w:i w:val="0"/>
          <w:color w:val="59595B"/>
          <w:sz w:val="20"/>
        </w:rPr>
        <w:t>Pricing for services under this Schedule is subject to the Rate Card (Schedule C). Technijian may adjust rates per Schedule C, Section 5.01, effective at the start of the next Renewal Term of the Agreement.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SIGNATURES</w:t>
      </w:r>
    </w:p>
    <w:p>
      <w:pPr>
        <w:spacing w:after="80" w:line="288" w:lineRule="auto"/>
      </w:pPr>
      <w:r>
        <w:rPr>
          <w:rFonts w:ascii="Open Sans" w:hAnsi="Open Sans" w:cs="Open Sans"/>
          <w:b/>
          <w:i w:val="0"/>
          <w:color w:val="1A1A2E"/>
          <w:sz w:val="20"/>
        </w:rPr>
        <w:t>TECHNIJIAN, INC.</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Ravi Jain</w:t>
      </w:r>
    </w:p>
    <w:p>
      <w:pPr>
        <w:spacing w:after="80" w:line="288" w:lineRule="auto"/>
      </w:pPr>
      <w:r>
        <w:rPr>
          <w:rFonts w:ascii="Open Sans" w:hAnsi="Open Sans" w:cs="Open Sans"/>
          <w:b w:val="0"/>
          <w:i w:val="0"/>
          <w:color w:val="59595B"/>
          <w:sz w:val="20"/>
        </w:rPr>
        <w:t>Title: President</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i w:val="0"/>
          <w:color w:val="1A1A2E"/>
          <w:sz w:val="20"/>
        </w:rPr>
        <w:t>TALLEY &amp; ASSOCIATES</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Robert L. Evens</w:t>
      </w:r>
    </w:p>
    <w:p>
      <w:pPr>
        <w:spacing w:after="80" w:line="288" w:lineRule="auto"/>
      </w:pPr>
      <w:r>
        <w:rPr>
          <w:rFonts w:ascii="Open Sans" w:hAnsi="Open Sans" w:cs="Open Sans"/>
          <w:b w:val="0"/>
          <w:i w:val="0"/>
          <w:color w:val="59595B"/>
          <w:sz w:val="20"/>
        </w:rPr>
        <w:t xml:space="preserve">Title: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