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8" w:lineRule="auto"/>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_technijian-logo.png"/>
                    <pic:cNvPicPr/>
                  </pic:nvPicPr>
                  <pic:blipFill>
                    <a:blip r:embed="rId9"/>
                    <a:stretch>
                      <a:fillRect/>
                    </a:stretch>
                  </pic:blipFill>
                  <pic:spPr>
                    <a:xfrm>
                      <a:off x="0" y="0"/>
                      <a:ext cx="2377440" cy="495300"/>
                    </a:xfrm>
                    <a:prstGeom prst="rect"/>
                  </pic:spPr>
                </pic:pic>
              </a:graphicData>
            </a:graphic>
          </wp:inline>
        </w:drawing>
      </w:r>
    </w:p>
    <w:p>
      <w:pPr>
        <w:spacing w:after="80" w:line="288" w:lineRule="auto"/>
        <w:jc w:val="center"/>
      </w:pPr>
      <w:r>
        <w:rPr>
          <w:rFonts w:ascii="Open Sans" w:hAnsi="Open Sans" w:cs="Open Sans"/>
          <w:b/>
          <w:i w:val="0"/>
          <w:color w:val="006DB6"/>
          <w:sz w:val="44"/>
        </w:rPr>
        <w:t>SCHEDULE C</w:t>
      </w:r>
    </w:p>
    <w:p>
      <w:pPr>
        <w:spacing w:after="80" w:line="288" w:lineRule="auto"/>
        <w:jc w:val="center"/>
      </w:pPr>
      <w:r>
        <w:rPr>
          <w:rFonts w:ascii="Open Sans" w:hAnsi="Open Sans" w:cs="Open Sans"/>
          <w:b/>
          <w:i w:val="0"/>
          <w:color w:val="1A1A2E"/>
          <w:sz w:val="28"/>
        </w:rPr>
        <w:t>Rate Card</w:t>
      </w:r>
    </w:p>
    <w:p>
      <w:pPr>
        <w:spacing w:after="240" w:line="288" w:lineRule="auto"/>
        <w:jc w:val="center"/>
      </w:pPr>
      <w:r>
        <w:rPr>
          <w:rFonts w:ascii="Open Sans" w:hAnsi="Open Sans" w:cs="Open Sans"/>
          <w:b w:val="0"/>
          <w:i/>
          <w:color w:val="59595B"/>
          <w:sz w:val="22"/>
        </w:rPr>
        <w:t>Attached to Master Service Agreement MSA-TALY-2026</w:t>
      </w:r>
    </w:p>
    <w:tbl>
      <w:tblPr>
        <w:tblW w:type="auto" w:w="0"/>
        <w:tblLook w:firstColumn="1" w:firstRow="1" w:lastColumn="0" w:lastRow="0" w:noHBand="0" w:noVBand="1" w:val="04A0"/>
      </w:tblPr>
      <w:tblGrid>
        <w:gridCol w:w="9648"/>
      </w:tblGrid>
      <w:tr>
        <w:tc>
          <w:tcPr>
            <w:tcW w:type="dxa" w:w="9648"/>
            <w:shd w:fill="F67D4B" w:val="clear"/>
            <w:tcW w:w="9000" w:type="dxa"/>
          </w:tcPr>
          <w:p>
            <w:pPr>
              <w:spacing w:before="0" w:after="0" w:line="240" w:lineRule="auto"/>
            </w:pPr>
            <w:r/>
          </w:p>
        </w:tc>
      </w:tr>
    </w:tbl>
    <w:p>
      <w:pPr>
        <w:spacing w:after="120" w:line="288" w:lineRule="auto"/>
      </w:pPr>
    </w:p>
    <w:p>
      <w:pPr>
        <w:spacing w:after="80" w:line="288" w:lineRule="auto"/>
      </w:pPr>
      <w:r>
        <w:rPr>
          <w:rFonts w:ascii="Open Sans" w:hAnsi="Open Sans" w:cs="Open Sans"/>
          <w:b/>
          <w:i w:val="0"/>
          <w:color w:val="1A1A2E"/>
          <w:sz w:val="20"/>
        </w:rPr>
        <w:t>Attached to Master Service Agreement MSA-TALY-2026</w:t>
      </w:r>
      <w:r>
        <w:rPr>
          <w:rFonts w:ascii="Open Sans" w:hAnsi="Open Sans" w:cs="Open Sans"/>
          <w:b w:val="0"/>
          <w:i w:val="0"/>
          <w:color w:val="59595B"/>
          <w:sz w:val="20"/>
        </w:rPr>
        <w:t xml:space="preserve"> </w:t>
      </w:r>
      <w:r>
        <w:rPr>
          <w:rFonts w:ascii="Open Sans" w:hAnsi="Open Sans" w:cs="Open Sans"/>
          <w:b/>
          <w:i w:val="0"/>
          <w:color w:val="1A1A2E"/>
          <w:sz w:val="20"/>
        </w:rPr>
        <w:t>Effective Date:</w:t>
      </w:r>
      <w:r>
        <w:rPr>
          <w:rFonts w:ascii="Open Sans" w:hAnsi="Open Sans" w:cs="Open Sans"/>
          <w:b w:val="0"/>
          <w:i w:val="0"/>
          <w:color w:val="59595B"/>
          <w:sz w:val="20"/>
        </w:rPr>
        <w:t xml:space="preserv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val="0"/>
          <w:color w:val="59595B"/>
          <w:sz w:val="20"/>
        </w:rPr>
        <w:t xml:space="preserve"> 2026</w:t>
      </w:r>
    </w:p>
    <w:p>
      <w:pPr>
        <w:spacing w:after="80" w:line="288" w:lineRule="auto"/>
      </w:pPr>
      <w:r>
        <w:rPr>
          <w:rFonts w:ascii="Open Sans" w:hAnsi="Open Sans" w:cs="Open Sans"/>
          <w:b w:val="0"/>
          <w:i w:val="0"/>
          <w:color w:val="59595B"/>
          <w:sz w:val="20"/>
        </w:rPr>
        <w:t xml:space="preserve">This Schedule sets forth the standard rates for services provided by Technijian, Inc. ("Technijian") to </w:t>
      </w:r>
      <w:r>
        <w:rPr>
          <w:rFonts w:ascii="Open Sans" w:hAnsi="Open Sans" w:cs="Open Sans"/>
          <w:b/>
          <w:i w:val="0"/>
          <w:color w:val="1A1A2E"/>
          <w:sz w:val="20"/>
        </w:rPr>
        <w:t>Talley &amp; Associates</w:t>
      </w:r>
      <w:r>
        <w:rPr>
          <w:rFonts w:ascii="Open Sans" w:hAnsi="Open Sans" w:cs="Open Sans"/>
          <w:b w:val="0"/>
          <w:i w:val="0"/>
          <w:color w:val="59595B"/>
          <w:sz w:val="20"/>
        </w:rPr>
        <w:t xml:space="preserve"> ("Client") under the Master Service Agreement.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1. VIRTUAL STAFF RATES</w:t>
      </w:r>
    </w:p>
    <w:p>
      <w:pPr>
        <w:spacing w:after="120" w:line="288" w:lineRule="auto" w:before="200"/>
      </w:pPr>
      <w:r>
        <w:rPr>
          <w:rFonts w:ascii="Open Sans" w:hAnsi="Open Sans" w:cs="Open Sans"/>
          <w:b/>
          <w:i w:val="0"/>
          <w:color w:val="1A1A2E"/>
          <w:sz w:val="28"/>
        </w:rPr>
        <w:t>1.1 United States — Based Staff</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Role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Hourly Rate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After-Hours Rate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Contracted Rate (Cycle)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Description</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CTO Advisory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$350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$225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Strategic technology leadership and advisory</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Developer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 / hr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N/A</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$125 / hr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Software development and engineering</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$125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Technical support and systems administration</w:t>
            </w:r>
          </w:p>
        </w:tc>
      </w:tr>
    </w:tbl>
    <w:p>
      <w:pPr>
        <w:spacing w:after="80" w:line="288" w:lineRule="auto"/>
      </w:pPr>
    </w:p>
    <w:p>
      <w:pPr>
        <w:spacing w:after="120" w:line="288" w:lineRule="auto" w:before="200"/>
      </w:pPr>
      <w:r>
        <w:rPr>
          <w:rFonts w:ascii="Open Sans" w:hAnsi="Open Sans" w:cs="Open Sans"/>
          <w:b/>
          <w:i w:val="0"/>
          <w:color w:val="1A1A2E"/>
          <w:sz w:val="28"/>
        </w:rPr>
        <w:t>1.2 India — Based Staff</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Role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Hourly Rate (India Night = US Business)</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After-Hours Rate (India Day = US After-Hours)</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Contracted Rate (Cycle)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Description</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Developer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$45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N/A</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Software development and engineering</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SEO Specialist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$45 / hr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N/A</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 / hr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Search engine optimization and digital marketing</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 / hr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Technical support and systems administration</w:t>
            </w:r>
          </w:p>
        </w:tc>
      </w:tr>
    </w:tbl>
    <w:p>
      <w:pPr>
        <w:spacing w:after="80" w:line="288" w:lineRule="auto"/>
      </w:pPr>
    </w:p>
    <w:p>
      <w:pPr>
        <w:spacing w:after="80" w:line="288" w:lineRule="auto"/>
      </w:pPr>
      <w:r>
        <w:rPr>
          <w:rFonts w:ascii="Open Sans" w:hAnsi="Open Sans" w:cs="Open Sans"/>
          <w:b/>
          <w:i w:val="0"/>
          <w:color w:val="1A1A2E"/>
          <w:sz w:val="20"/>
        </w:rPr>
        <w:t>Definitions used in this Schedule:</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Normal Business Hours:</w:t>
      </w:r>
      <w:r>
        <w:rPr>
          <w:rFonts w:ascii="Open Sans" w:hAnsi="Open Sans" w:cs="Open Sans"/>
          <w:b w:val="0"/>
          <w:i w:val="0"/>
          <w:color w:val="59595B"/>
          <w:sz w:val="20"/>
        </w:rPr>
        <w:t xml:space="preserve"> Monday through Friday, 8:00 AM to 6:00 PM Pacific Time, excluding US federal holidays.</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After-Hours:</w:t>
      </w:r>
      <w:r>
        <w:rPr>
          <w:rFonts w:ascii="Open Sans" w:hAnsi="Open Sans" w:cs="Open Sans"/>
          <w:b w:val="0"/>
          <w:i w:val="0"/>
          <w:color w:val="59595B"/>
          <w:sz w:val="20"/>
        </w:rPr>
        <w:t xml:space="preserve"> All hours outside of Normal Business Hours, including weekends and US federal holidays.</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Contracted Rate:</w:t>
      </w:r>
      <w:r>
        <w:rPr>
          <w:rFonts w:ascii="Open Sans" w:hAnsi="Open Sans" w:cs="Open Sans"/>
          <w:b w:val="0"/>
          <w:i w:val="0"/>
          <w:color w:val="59595B"/>
          <w:sz w:val="20"/>
        </w:rPr>
        <w:t xml:space="preserve"> The discounted hourly rate applied when Client commits a role to a Cycle under the Cycle-Based Billing Model in Schedule A, Part 3. Contracted Rates are available only for Virtual Staff services billed through the Cycle model. Roles designated as </w:t>
      </w:r>
      <w:r>
        <w:rPr>
          <w:rFonts w:ascii="Open Sans" w:hAnsi="Open Sans" w:cs="Open Sans"/>
          <w:b/>
          <w:i w:val="0"/>
          <w:color w:val="1A1A2E"/>
          <w:sz w:val="20"/>
        </w:rPr>
        <w:t>"Hourly (Ad-Hoc)"</w:t>
      </w:r>
      <w:r>
        <w:rPr>
          <w:rFonts w:ascii="Open Sans" w:hAnsi="Open Sans" w:cs="Open Sans"/>
          <w:b w:val="0"/>
          <w:i w:val="0"/>
          <w:color w:val="59595B"/>
          <w:sz w:val="20"/>
        </w:rPr>
        <w:t xml:space="preserve"> in the Service Order do </w:t>
      </w:r>
      <w:r>
        <w:rPr>
          <w:rFonts w:ascii="Open Sans" w:hAnsi="Open Sans" w:cs="Open Sans"/>
          <w:b/>
          <w:i w:val="0"/>
          <w:color w:val="1A1A2E"/>
          <w:sz w:val="20"/>
        </w:rPr>
        <w:t>not</w:t>
      </w:r>
      <w:r>
        <w:rPr>
          <w:rFonts w:ascii="Open Sans" w:hAnsi="Open Sans" w:cs="Open Sans"/>
          <w:b w:val="0"/>
          <w:i w:val="0"/>
          <w:color w:val="59595B"/>
          <w:sz w:val="20"/>
        </w:rPr>
        <w:t xml:space="preserve"> qualify for Contracted Rates and are billed at the Hourly Rate / After-Hours Rate above.</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Hourly Rate:</w:t>
      </w:r>
      <w:r>
        <w:rPr>
          <w:rFonts w:ascii="Open Sans" w:hAnsi="Open Sans" w:cs="Open Sans"/>
          <w:b w:val="0"/>
          <w:i w:val="0"/>
          <w:color w:val="59595B"/>
          <w:sz w:val="20"/>
        </w:rPr>
        <w:t xml:space="preserve"> The standard rate for ad-hoc (non-contracted) services. This rate is also applied to calculate any unpaid hour balance upon termination of Virtual Staff services, as described in Schedule A, Section 3.3(e).</w:t>
      </w:r>
    </w:p>
    <w:p>
      <w:pPr>
        <w:spacing w:after="120" w:line="288" w:lineRule="auto" w:before="200"/>
      </w:pPr>
      <w:r>
        <w:rPr>
          <w:rFonts w:ascii="Open Sans" w:hAnsi="Open Sans" w:cs="Open Sans"/>
          <w:b/>
          <w:i w:val="0"/>
          <w:color w:val="1A1A2E"/>
          <w:sz w:val="28"/>
        </w:rPr>
        <w:t>1.3 Note on Client's Service Order</w:t>
      </w:r>
    </w:p>
    <w:p>
      <w:pPr>
        <w:spacing w:after="80" w:line="288" w:lineRule="auto"/>
      </w:pPr>
      <w:r>
        <w:rPr>
          <w:rFonts w:ascii="Open Sans" w:hAnsi="Open Sans" w:cs="Open Sans"/>
          <w:b w:val="0"/>
          <w:i w:val="0"/>
          <w:color w:val="59595B"/>
          <w:sz w:val="20"/>
        </w:rPr>
        <w:t xml:space="preserve">Per the Service Order in Schedule A, Section 4 of this Agreement, Client has elected to bill </w:t>
      </w:r>
      <w:r>
        <w:rPr>
          <w:rFonts w:ascii="Open Sans" w:hAnsi="Open Sans" w:cs="Open Sans"/>
          <w:b/>
          <w:i w:val="0"/>
          <w:color w:val="1A1A2E"/>
          <w:sz w:val="20"/>
        </w:rPr>
        <w:t>US Tech Support</w:t>
      </w:r>
      <w:r>
        <w:rPr>
          <w:rFonts w:ascii="Open Sans" w:hAnsi="Open Sans" w:cs="Open Sans"/>
          <w:b w:val="0"/>
          <w:i w:val="0"/>
          <w:color w:val="59595B"/>
          <w:sz w:val="20"/>
        </w:rPr>
        <w:t xml:space="preserve"> on an </w:t>
      </w:r>
      <w:r>
        <w:rPr>
          <w:rFonts w:ascii="Open Sans" w:hAnsi="Open Sans" w:cs="Open Sans"/>
          <w:b/>
          <w:i w:val="0"/>
          <w:color w:val="1A1A2E"/>
          <w:sz w:val="20"/>
        </w:rPr>
        <w:t>Hourly (Ad-Hoc)</w:t>
      </w:r>
      <w:r>
        <w:rPr>
          <w:rFonts w:ascii="Open Sans" w:hAnsi="Open Sans" w:cs="Open Sans"/>
          <w:b w:val="0"/>
          <w:i w:val="0"/>
          <w:color w:val="59595B"/>
          <w:sz w:val="20"/>
        </w:rPr>
        <w:t xml:space="preserve"> basis (rates: $150 / hr Normal, $250 / hr After-Hours), with no Cycle commitment. India Tech Support — Night and India Tech Support — Day remain on the </w:t>
      </w:r>
      <w:r>
        <w:rPr>
          <w:rFonts w:ascii="Open Sans" w:hAnsi="Open Sans" w:cs="Open Sans"/>
          <w:b/>
          <w:i w:val="0"/>
          <w:color w:val="1A1A2E"/>
          <w:sz w:val="20"/>
        </w:rPr>
        <w:t>Cycle</w:t>
      </w:r>
      <w:r>
        <w:rPr>
          <w:rFonts w:ascii="Open Sans" w:hAnsi="Open Sans" w:cs="Open Sans"/>
          <w:b w:val="0"/>
          <w:i w:val="0"/>
          <w:color w:val="59595B"/>
          <w:sz w:val="20"/>
        </w:rPr>
        <w:t xml:space="preserve"> model at the Contracted Rates of $10 / hr and $30 / hr respectively, with initial monthly billed hours as documented in the Service Order.</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2. PROJECT RATES</w:t>
      </w:r>
    </w:p>
    <w:tbl>
      <w:tblPr>
        <w:tblW w:type="auto" w:w="0"/>
        <w:tblLayout w:type="autofit"/>
        <w:tblLook w:firstColumn="1" w:firstRow="1" w:lastColumn="0" w:lastRow="0" w:noHBand="0" w:noVBand="1" w:val="04A0"/>
      </w:tblPr>
      <w:tblGrid>
        <w:gridCol w:w="2412"/>
        <w:gridCol w:w="2412"/>
        <w:gridCol w:w="2412"/>
        <w:gridCol w:w="2412"/>
      </w:tblGrid>
      <w:tr>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Rate</w:t>
            </w:r>
          </w:p>
        </w:tc>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Minimum</w:t>
            </w:r>
          </w:p>
        </w:tc>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Notes</w:t>
            </w:r>
          </w:p>
        </w:tc>
      </w:tr>
      <w:tr>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On-Site Support (US)</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 / hr</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2-hour minimum</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No trip charges</w:t>
            </w:r>
          </w:p>
        </w:tc>
      </w:tr>
      <w:tr>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Remote Support (ad-hoc, non-contracted)</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 / hr</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15-min increments</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Billed in 15-minute increments</w:t>
            </w:r>
          </w:p>
        </w:tc>
      </w:tr>
      <w:tr>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Emergency / Critical Response</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 / hr</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1-hour minimum</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After-hours and critical incidents</w:t>
            </w:r>
          </w:p>
        </w:tc>
      </w:tr>
      <w:tr>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Project Management</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 / hr</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N/A</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For SOW-based engagements</w:t>
            </w:r>
          </w:p>
        </w:tc>
      </w:tr>
    </w:tbl>
    <w:p>
      <w:pPr>
        <w:spacing w:after="80" w:line="288" w:lineRule="auto"/>
      </w:pP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3. ONLINE SERVICES — INFRASTRUCTURE</w:t>
      </w:r>
    </w:p>
    <w:p>
      <w:pPr>
        <w:spacing w:after="120" w:line="288" w:lineRule="auto" w:before="200"/>
      </w:pPr>
      <w:r>
        <w:rPr>
          <w:rFonts w:ascii="Open Sans" w:hAnsi="Open Sans" w:cs="Open Sans"/>
          <w:b/>
          <w:i w:val="0"/>
          <w:color w:val="1A1A2E"/>
          <w:sz w:val="28"/>
        </w:rPr>
        <w:t>3.1 Cloud Infrastructure</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CL-VC</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Cloud VM — vCore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vCore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$6.25</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CL-GB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Cloud VM — Memory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GB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$0.63</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CL-SBW</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Cloud VM — Shared Bandwidth</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connection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CL-DBW</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Cloud VM — Dedicated Bandwidth</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VM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HC</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Hosting — CDN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TB-PSTR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Production Storage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TB-RSTR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Replicated Storage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TB-BSTR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Backup Storage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$50.00</w:t>
            </w:r>
          </w:p>
        </w:tc>
      </w:tr>
    </w:tbl>
    <w:p>
      <w:pPr>
        <w:spacing w:after="80" w:line="288" w:lineRule="auto"/>
      </w:pPr>
    </w:p>
    <w:p>
      <w:pPr>
        <w:spacing w:after="120" w:line="288" w:lineRule="auto" w:before="200"/>
      </w:pPr>
      <w:r>
        <w:rPr>
          <w:rFonts w:ascii="Open Sans" w:hAnsi="Open Sans" w:cs="Open Sans"/>
          <w:b/>
          <w:i w:val="0"/>
          <w:color w:val="1A1A2E"/>
          <w:sz w:val="28"/>
        </w:rPr>
        <w:t>3.2 Server Management</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PMW</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Patch Management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Image Backup (Veeam)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 Protection — Server (CrowdStrike)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AVMS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AVM Protection — Server (Malwarebytes)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$16.00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AVHS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AVH Protection — Server (Huntress)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SI</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Secure Internet (DNS Filtering)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Remote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SHM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Health Monitoring (SNMP)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Syslog Monitoring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OPS-NET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Net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$3.25</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OPS-BKP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Config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switch</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OPS-TR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Traffic</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firewall</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$14.00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OPS-PRT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Port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port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$0.25</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OPS-ST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Storage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disk</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$4.75</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OPS-WF</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Wifi</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MyAudit Server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$252.00</w:t>
            </w:r>
          </w:p>
        </w:tc>
      </w:tr>
    </w:tbl>
    <w:p>
      <w:pPr>
        <w:spacing w:after="80" w:line="288" w:lineRule="auto"/>
      </w:pPr>
    </w:p>
    <w:p>
      <w:pPr>
        <w:spacing w:after="120" w:line="288" w:lineRule="auto" w:before="200"/>
      </w:pPr>
      <w:r>
        <w:rPr>
          <w:rFonts w:ascii="Open Sans" w:hAnsi="Open Sans" w:cs="Open Sans"/>
          <w:b/>
          <w:i w:val="0"/>
          <w:color w:val="1A1A2E"/>
          <w:sz w:val="28"/>
        </w:rPr>
        <w:t>3.3 Desktop Management</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PMW</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Patch Management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PMMAC</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Patch Management (macOS)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$11.00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AVD</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 Protection — Desktop (CrowdStrike)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$8.50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AVMD</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AVM Protection — Desktop (Malwarebytes)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AVMH</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AVH Protection — Desktop (Huntress)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SI</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Secure Internet (DNS Filtering)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Remote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OPS-NET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Ops — Net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$3.25</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(Base)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AM30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(30 Day)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$12.50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AM90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(90 Day)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AM6M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(6 Months)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AM1Y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(1 Year)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AMDLP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DLP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$49.00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AMDLP30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DLP (30 Day)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$51.90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AMDLP90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DLP (90 Day)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$57.30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AMDLP6M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DLP (6 Months)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$72.70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AMDLP1Y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DLP (1 Year)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$108.10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AMUAM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UAM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$42.00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AMUAM30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UAM (30 Day)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$44.90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AMUAM90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UAM (90 Day)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$47.40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AMUAM6M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UAM (6 Months)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$57.40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AMUAM1Y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Audit Monitoring UAM (1 Year)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$77.40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MDMIOS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MDM (iOS)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bl>
    <w:p>
      <w:pPr>
        <w:spacing w:after="80" w:line="288" w:lineRule="auto"/>
      </w:pPr>
    </w:p>
    <w:p>
      <w:pPr>
        <w:spacing w:after="120" w:line="288" w:lineRule="auto" w:before="200"/>
      </w:pPr>
      <w:r>
        <w:rPr>
          <w:rFonts w:ascii="Open Sans" w:hAnsi="Open Sans" w:cs="Open Sans"/>
          <w:b/>
          <w:i w:val="0"/>
          <w:color w:val="1A1A2E"/>
          <w:sz w:val="28"/>
        </w:rPr>
        <w:t>3.4 Network and Security</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SO-1C4G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1C-4G (Up to 100 Mbps)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$145.00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SO-2C4G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2C-4G (Up to 300 Mbps)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$350.00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SO-4C6G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4C-6G (Up to 500 Mbps)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$510.00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SO-6C8G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6C-8G (Up to 750 Mbps)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$855.00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SO-8C16G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8C-16G (Up to 1 Gbps)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$1,330.00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SO-16C24G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16C-24G (Up to 1.5 Gbps)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$2,435.00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SO-UCG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Sophos UC-UG (Over 1.5 Gbps)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$3,320.00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VC-30M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VeloCloud SD-WAN 30M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VC-50M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VeloCloud SD-WAN 50M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VC-100M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VeloCloud SD-WAN 100M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$310.00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VC-200M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VeloCloud SD-WAN 200M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$385.00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VS2G50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 Velo 50/Sophos 1C2G Bundle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$350.00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VS2G200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 Velo 200/Sophos 1C2G Bundle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$475.00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VS4G100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 Velo 100/Sophos 2C4G Bundle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$525.00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Edge-16M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Edge Appliance 16GB</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appliance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RTPT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Real-Time Penetration Testing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IP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Vulnerability Assessment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NA</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Network Assessment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MPCE25</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 — 25 Mbps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MPC</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MPCE50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MPC — 50 Mbps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MPC</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$275.00</w:t>
            </w:r>
          </w:p>
        </w:tc>
      </w:tr>
    </w:tbl>
    <w:p>
      <w:pPr>
        <w:spacing w:after="80" w:line="288" w:lineRule="auto"/>
      </w:pPr>
    </w:p>
    <w:p>
      <w:pPr>
        <w:spacing w:after="120" w:line="288" w:lineRule="auto" w:before="200"/>
      </w:pPr>
      <w:r>
        <w:rPr>
          <w:rFonts w:ascii="Open Sans" w:hAnsi="Open Sans" w:cs="Open Sans"/>
          <w:b/>
          <w:i w:val="0"/>
          <w:color w:val="1A1A2E"/>
          <w:sz w:val="28"/>
        </w:rPr>
        <w:t>3.5 Email, Compliance, and Identity</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EA</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E-Mail Archiving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Hosting — E-Mail</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HEU</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Hosting — E-Mail (Per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DKIM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DMARC / DKIM Management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SA</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Site Assessment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V365</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Veeam 365 Backup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$2.50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Anti-Spam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Anti-Spam Basic</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$4.25</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ASA</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Anti-Spam Standard (+ Encryption)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$6.25</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Anti-Spam Professional</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$10.25</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ASG</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Anti-Spam GSuite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$6.25</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PHT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Phishing Training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SSO-2FA</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SSO / 2FA Login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$12.00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SSO-DSK</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SSO / Desktop</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CRM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Credential Manager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AZP2</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Azure Directory P2 Plan</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SADT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Storage Audit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storage unit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$0.50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SMA</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Archive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storage unit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$0.50</w:t>
            </w:r>
          </w:p>
        </w:tc>
      </w:tr>
    </w:tbl>
    <w:p>
      <w:pPr>
        <w:spacing w:after="80" w:line="288" w:lineRule="auto"/>
      </w:pPr>
    </w:p>
    <w:p>
      <w:pPr>
        <w:spacing w:after="120" w:line="288" w:lineRule="auto" w:before="200"/>
      </w:pPr>
      <w:r>
        <w:rPr>
          <w:rFonts w:ascii="Open Sans" w:hAnsi="Open Sans" w:cs="Open Sans"/>
          <w:b/>
          <w:i w:val="0"/>
          <w:color w:val="1A1A2E"/>
          <w:sz w:val="28"/>
        </w:rPr>
        <w:t>3.6 Storage Tiers</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Disk</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server / desktop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MDU</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Disk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$16.00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TB-PSTR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Production Storage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TB-RSTR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Replicated Storage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TB-BSTR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Backup Storage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$50.00</w:t>
            </w:r>
          </w:p>
        </w:tc>
      </w:tr>
    </w:tbl>
    <w:p>
      <w:pPr>
        <w:spacing w:after="80" w:line="288" w:lineRule="auto"/>
      </w:pPr>
    </w:p>
    <w:p>
      <w:pPr>
        <w:spacing w:after="120" w:line="288" w:lineRule="auto" w:before="200"/>
      </w:pPr>
      <w:r>
        <w:rPr>
          <w:rFonts w:ascii="Open Sans" w:hAnsi="Open Sans" w:cs="Open Sans"/>
          <w:b/>
          <w:i w:val="0"/>
          <w:color w:val="1A1A2E"/>
          <w:sz w:val="28"/>
        </w:rPr>
        <w:t>3.7 Cloud VM Tiers (Bare VM)</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Tier</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vCores</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Memory (GB)</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Bare VM /mo</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 Win Server /mo</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$7.50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8</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16</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$35.00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32</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$45.00</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8</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32</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$70.00</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$60.00</w:t>
            </w:r>
          </w:p>
        </w:tc>
      </w:tr>
    </w:tbl>
    <w:p>
      <w:pPr>
        <w:spacing w:after="80" w:line="288" w:lineRule="auto"/>
      </w:pP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4. SIP TRUNK, HOSTING, AND LICENSING SERVICES</w:t>
      </w:r>
    </w:p>
    <w:tbl>
      <w:tblPr>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License</w:t>
            </w:r>
          </w:p>
        </w:tc>
        <w:tc>
          <w:tcPr>
            <w:tcW w:type="dxa" w:w="1930"/>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Rate</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SIP Trunk</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trunk</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Service Order</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Voice Package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package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Service Order</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DID Number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number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Service Order</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HIIS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Hosting — Web (IIS)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HWP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Hosting — Web (WordPress)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HMG</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Hosting — Web (Magento)</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domain</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MYVDI</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VDI</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MDMIOS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MDM (iOS)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MDU</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Disk (File Sharing &amp; Backup)</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$16.00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VBR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Veeam VBR (Backup &amp; Replication)</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VM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$13.00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VONE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Veeam One (Backup Management)</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VM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MS-ADP2</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365 Azure Directory P2</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user</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MS-WRDS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RDP SAL</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$9.20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MS-SSSE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SQL Std SAL</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$18.50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MS-SSSC</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SQL Std Core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$175.00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MS-SPSE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Sharepoint SAL</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MS-ESS</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Exchange Std SAL</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$3.50</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MS-EESS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Exchange Ent SAL</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r>
      <w:tr>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MS-STD</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 Std Core 2 LIC</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w:t>
            </w:r>
          </w:p>
        </w:tc>
        <w:tc>
          <w:tcPr>
            <w:tcW w:type="dxa" w:w="1930"/>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$5.25</w:t>
            </w:r>
          </w:p>
        </w:tc>
      </w:tr>
      <w:tr>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FX-BSPDF</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Foxit PDF Business</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license</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Y</w:t>
            </w:r>
          </w:p>
        </w:tc>
        <w:tc>
          <w:tcPr>
            <w:tcW w:type="dxa" w:w="1930"/>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$14.00</w:t>
            </w:r>
          </w:p>
        </w:tc>
      </w:tr>
    </w:tbl>
    <w:p>
      <w:pPr>
        <w:spacing w:after="80" w:line="288" w:lineRule="auto"/>
      </w:pPr>
    </w:p>
    <w:p>
      <w:pPr>
        <w:spacing w:after="80" w:line="288" w:lineRule="auto"/>
      </w:pPr>
      <w:r>
        <w:rPr>
          <w:rFonts w:ascii="Open Sans" w:hAnsi="Open Sans" w:cs="Open Sans"/>
          <w:b/>
          <w:i w:val="0"/>
          <w:color w:val="1A1A2E"/>
          <w:sz w:val="20"/>
        </w:rPr>
        <w:t>Legend:</w:t>
      </w:r>
      <w:r>
        <w:rPr>
          <w:rFonts w:ascii="Open Sans" w:hAnsi="Open Sans" w:cs="Open Sans"/>
          <w:b w:val="0"/>
          <w:i w:val="0"/>
          <w:color w:val="59595B"/>
          <w:sz w:val="20"/>
        </w:rPr>
        <w:t xml:space="preserve"> M = Monthly billing · Y = Annual billing.</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5. TERMS</w:t>
      </w:r>
    </w:p>
    <w:p>
      <w:pPr>
        <w:spacing w:after="80" w:line="288" w:lineRule="auto"/>
      </w:pPr>
      <w:r>
        <w:rPr>
          <w:rFonts w:ascii="Open Sans" w:hAnsi="Open Sans" w:cs="Open Sans"/>
          <w:b/>
          <w:i w:val="0"/>
          <w:color w:val="1A1A2E"/>
          <w:sz w:val="20"/>
        </w:rPr>
        <w:t>5.01. Rate Adjustments at Renewal.</w:t>
      </w:r>
    </w:p>
    <w:p>
      <w:pPr>
        <w:spacing w:after="80" w:line="288" w:lineRule="auto"/>
      </w:pPr>
      <w:r>
        <w:rPr>
          <w:rFonts w:ascii="Open Sans" w:hAnsi="Open Sans" w:cs="Open Sans"/>
          <w:b w:val="0"/>
          <w:i w:val="0"/>
          <w:color w:val="59595B"/>
          <w:sz w:val="20"/>
        </w:rPr>
        <w:t xml:space="preserve">(a) </w:t>
      </w:r>
      <w:r>
        <w:rPr>
          <w:rFonts w:ascii="Open Sans" w:hAnsi="Open Sans" w:cs="Open Sans"/>
          <w:b/>
          <w:i w:val="0"/>
          <w:color w:val="1A1A2E"/>
          <w:sz w:val="20"/>
        </w:rPr>
        <w:t>Adjustment Mechanism.</w:t>
      </w:r>
      <w:r>
        <w:rPr>
          <w:rFonts w:ascii="Open Sans" w:hAnsi="Open Sans" w:cs="Open Sans"/>
          <w:b w:val="0"/>
          <w:i w:val="0"/>
          <w:color w:val="59595B"/>
          <w:sz w:val="20"/>
        </w:rPr>
        <w:t xml:space="preserve"> Technijian may adjust the rates in this Schedule effective at the start of any Renewal Term of the Agreement, by providing Client with written notice at least </w:t>
      </w:r>
      <w:r>
        <w:rPr>
          <w:rFonts w:ascii="Open Sans" w:hAnsi="Open Sans" w:cs="Open Sans"/>
          <w:b/>
          <w:i w:val="0"/>
          <w:color w:val="1A1A2E"/>
          <w:sz w:val="20"/>
        </w:rPr>
        <w:t>sixty (60) days</w:t>
      </w:r>
      <w:r>
        <w:rPr>
          <w:rFonts w:ascii="Open Sans" w:hAnsi="Open Sans" w:cs="Open Sans"/>
          <w:b w:val="0"/>
          <w:i w:val="0"/>
          <w:color w:val="59595B"/>
          <w:sz w:val="20"/>
        </w:rPr>
        <w:t xml:space="preserve"> prior to the Renewal Term. The adjustment shall be calculated as the </w:t>
      </w:r>
      <w:r>
        <w:rPr>
          <w:rFonts w:ascii="Open Sans" w:hAnsi="Open Sans" w:cs="Open Sans"/>
          <w:b/>
          <w:i w:val="0"/>
          <w:color w:val="1A1A2E"/>
          <w:sz w:val="20"/>
        </w:rPr>
        <w:t>greater of</w:t>
      </w:r>
      <w:r>
        <w:rPr>
          <w:rFonts w:ascii="Open Sans" w:hAnsi="Open Sans" w:cs="Open Sans"/>
          <w:b w:val="0"/>
          <w:i w:val="0"/>
          <w:color w:val="59595B"/>
          <w:sz w:val="20"/>
        </w:rPr>
        <w:t>:</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 xml:space="preserve">(i) </w:t>
      </w:r>
      <w:r>
        <w:rPr>
          <w:rFonts w:ascii="Open Sans" w:hAnsi="Open Sans" w:cs="Open Sans"/>
          <w:b/>
          <w:i w:val="0"/>
          <w:color w:val="1A1A2E"/>
          <w:sz w:val="20"/>
        </w:rPr>
        <w:t>ten percent (10%)</w:t>
      </w:r>
      <w:r>
        <w:rPr>
          <w:rFonts w:ascii="Open Sans" w:hAnsi="Open Sans" w:cs="Open Sans"/>
          <w:b w:val="0"/>
          <w:i w:val="0"/>
          <w:color w:val="59595B"/>
          <w:sz w:val="20"/>
        </w:rPr>
        <w:t xml:space="preserve"> of the then-current rate; or</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 xml:space="preserve">(ii) the percentage increase in the Consumer Price Index for All Urban Consumers (CPI-U), U.S. City Average, as published by the Bureau of Labor Statistics, for the twelve (12) month period ending sixty (60) days prior to the Renewal Term, plus </w:t>
      </w:r>
      <w:r>
        <w:rPr>
          <w:rFonts w:ascii="Open Sans" w:hAnsi="Open Sans" w:cs="Open Sans"/>
          <w:b/>
          <w:i w:val="0"/>
          <w:color w:val="1A1A2E"/>
          <w:sz w:val="20"/>
        </w:rPr>
        <w:t>three percent (3%)</w:t>
      </w:r>
      <w:r>
        <w:rPr>
          <w:rFonts w:ascii="Open Sans" w:hAnsi="Open Sans" w:cs="Open Sans"/>
          <w:b w:val="0"/>
          <w:i w:val="0"/>
          <w:color w:val="59595B"/>
          <w:sz w:val="20"/>
        </w:rPr>
        <w:t>.</w:t>
      </w:r>
    </w:p>
    <w:p>
      <w:pPr>
        <w:spacing w:after="80" w:line="288" w:lineRule="auto"/>
      </w:pPr>
      <w:r>
        <w:rPr>
          <w:rFonts w:ascii="Open Sans" w:hAnsi="Open Sans" w:cs="Open Sans"/>
          <w:b w:val="0"/>
          <w:i w:val="0"/>
          <w:color w:val="59595B"/>
          <w:sz w:val="20"/>
        </w:rPr>
        <w:t xml:space="preserve">(b) </w:t>
      </w:r>
      <w:r>
        <w:rPr>
          <w:rFonts w:ascii="Open Sans" w:hAnsi="Open Sans" w:cs="Open Sans"/>
          <w:b/>
          <w:i w:val="0"/>
          <w:color w:val="1A1A2E"/>
          <w:sz w:val="20"/>
        </w:rPr>
        <w:t>Rationale.</w:t>
      </w:r>
      <w:r>
        <w:rPr>
          <w:rFonts w:ascii="Open Sans" w:hAnsi="Open Sans" w:cs="Open Sans"/>
          <w:b w:val="0"/>
          <w:i w:val="0"/>
          <w:color w:val="59595B"/>
          <w:sz w:val="20"/>
        </w:rPr>
        <w:t xml:space="preserve"> This formula is designed to (i) preserve Technijian's ability to keep pace with inflation in personnel, vendor, infrastructure, and compliance costs, and (ii) provide Technijian with a predictable minimum adjustment opportunity in low-inflation environments. The Parties have negotiated this formula at arm's length and acknowledge that it reflects a fair allocation of inflation and cost-escalation risk between them.</w:t>
      </w:r>
    </w:p>
    <w:p>
      <w:pPr>
        <w:spacing w:after="80" w:line="288" w:lineRule="auto"/>
      </w:pPr>
      <w:r>
        <w:rPr>
          <w:rFonts w:ascii="Open Sans" w:hAnsi="Open Sans" w:cs="Open Sans"/>
          <w:b w:val="0"/>
          <w:i w:val="0"/>
          <w:color w:val="59595B"/>
          <w:sz w:val="20"/>
        </w:rPr>
        <w:t xml:space="preserve">(c) </w:t>
      </w:r>
      <w:r>
        <w:rPr>
          <w:rFonts w:ascii="Open Sans" w:hAnsi="Open Sans" w:cs="Open Sans"/>
          <w:b/>
          <w:i w:val="0"/>
          <w:color w:val="1A1A2E"/>
          <w:sz w:val="20"/>
        </w:rPr>
        <w:t>Client's Right to Decline.</w:t>
      </w:r>
      <w:r>
        <w:rPr>
          <w:rFonts w:ascii="Open Sans" w:hAnsi="Open Sans" w:cs="Open Sans"/>
          <w:b w:val="0"/>
          <w:i w:val="0"/>
          <w:color w:val="59595B"/>
          <w:sz w:val="20"/>
        </w:rPr>
        <w:t xml:space="preserve"> If Client does not accept the adjusted rates, Client may terminate the affected Schedule (or the entire Agreement) without payment of the early termination fee under MSA Section 2.03(b) (the wind-down fee), by providing written notice of non-renewal to Technijian within </w:t>
      </w:r>
      <w:r>
        <w:rPr>
          <w:rFonts w:ascii="Open Sans" w:hAnsi="Open Sans" w:cs="Open Sans"/>
          <w:b/>
          <w:i w:val="0"/>
          <w:color w:val="1A1A2E"/>
          <w:sz w:val="20"/>
        </w:rPr>
        <w:t>thirty (30) days</w:t>
      </w:r>
      <w:r>
        <w:rPr>
          <w:rFonts w:ascii="Open Sans" w:hAnsi="Open Sans" w:cs="Open Sans"/>
          <w:b w:val="0"/>
          <w:i w:val="0"/>
          <w:color w:val="59595B"/>
          <w:sz w:val="20"/>
        </w:rPr>
        <w:t xml:space="preserve"> of receiving the rate adjustment notice. Unrecoverable third-party costs under MSA Section 2.03(a) shall remain payable. Client's failure to provide such notice within thirty (30) days shall constitute acceptance of the adjusted rates for the upcoming Renewal Term.</w:t>
      </w:r>
    </w:p>
    <w:p>
      <w:pPr>
        <w:spacing w:after="80" w:line="288" w:lineRule="auto"/>
      </w:pPr>
      <w:r>
        <w:rPr>
          <w:rFonts w:ascii="Open Sans" w:hAnsi="Open Sans" w:cs="Open Sans"/>
          <w:b w:val="0"/>
          <w:i w:val="0"/>
          <w:color w:val="59595B"/>
          <w:sz w:val="20"/>
        </w:rPr>
        <w:t xml:space="preserve">(d) </w:t>
      </w:r>
      <w:r>
        <w:rPr>
          <w:rFonts w:ascii="Open Sans" w:hAnsi="Open Sans" w:cs="Open Sans"/>
          <w:b/>
          <w:i w:val="0"/>
          <w:color w:val="1A1A2E"/>
          <w:sz w:val="20"/>
        </w:rPr>
        <w:t>Notice Contents.</w:t>
      </w:r>
      <w:r>
        <w:rPr>
          <w:rFonts w:ascii="Open Sans" w:hAnsi="Open Sans" w:cs="Open Sans"/>
          <w:b w:val="0"/>
          <w:i w:val="0"/>
          <w:color w:val="59595B"/>
          <w:sz w:val="20"/>
        </w:rPr>
        <w:t xml:space="preserve"> The rate adjustment notice shall: (i) state the prior rates and the adjusted rates, line-by-line for each affected service; (ii) state the percentage adjustment and which prong of subsection (a) was used; (iii) state the effective date; (iv) include a reminder of Client's right to decline under subsection (c); and (v) include a reminder of Client's general non-renewal option under MSA Section 2.02.</w:t>
      </w:r>
    </w:p>
    <w:p>
      <w:pPr>
        <w:spacing w:after="80" w:line="288" w:lineRule="auto"/>
      </w:pPr>
      <w:r>
        <w:rPr>
          <w:rFonts w:ascii="Open Sans" w:hAnsi="Open Sans" w:cs="Open Sans"/>
          <w:b w:val="0"/>
          <w:i w:val="0"/>
          <w:color w:val="59595B"/>
          <w:sz w:val="20"/>
        </w:rPr>
        <w:t xml:space="preserve">(e) </w:t>
      </w:r>
      <w:r>
        <w:rPr>
          <w:rFonts w:ascii="Open Sans" w:hAnsi="Open Sans" w:cs="Open Sans"/>
          <w:b/>
          <w:i w:val="0"/>
          <w:color w:val="1A1A2E"/>
          <w:sz w:val="20"/>
        </w:rPr>
        <w:t>No Mid-Term Adjustments.</w:t>
      </w:r>
      <w:r>
        <w:rPr>
          <w:rFonts w:ascii="Open Sans" w:hAnsi="Open Sans" w:cs="Open Sans"/>
          <w:b w:val="0"/>
          <w:i w:val="0"/>
          <w:color w:val="59595B"/>
          <w:sz w:val="20"/>
        </w:rPr>
        <w:t xml:space="preserve"> Except for vendor pass-through cost increases under Schedule B Section 4.03, Technijian shall not adjust rates mid-term during any Initial Term or Renewal Term. Frequency of rate adjustments shall not exceed once per Renewal Term.</w:t>
      </w:r>
    </w:p>
    <w:p>
      <w:pPr>
        <w:spacing w:after="80" w:line="288" w:lineRule="auto"/>
      </w:pPr>
      <w:r>
        <w:rPr>
          <w:rFonts w:ascii="Open Sans" w:hAnsi="Open Sans" w:cs="Open Sans"/>
          <w:b w:val="0"/>
          <w:i w:val="0"/>
          <w:color w:val="59595B"/>
          <w:sz w:val="20"/>
        </w:rPr>
        <w:t xml:space="preserve">(f) </w:t>
      </w:r>
      <w:r>
        <w:rPr>
          <w:rFonts w:ascii="Open Sans" w:hAnsi="Open Sans" w:cs="Open Sans"/>
          <w:b/>
          <w:i w:val="0"/>
          <w:color w:val="1A1A2E"/>
          <w:sz w:val="20"/>
        </w:rPr>
        <w:t>Disclosure.</w:t>
      </w:r>
      <w:r>
        <w:rPr>
          <w:rFonts w:ascii="Open Sans" w:hAnsi="Open Sans" w:cs="Open Sans"/>
          <w:b w:val="0"/>
          <w:i w:val="0"/>
          <w:color w:val="59595B"/>
          <w:sz w:val="20"/>
        </w:rPr>
        <w:t xml:space="preserve"> Technijian shall not represent to Client or to any third party that this provision constitutes a "cap" or "ceiling" on rate increases. The Parties acknowledge that under the formula in subsection (a), the actual rate increase may exceed ten percent (10%) in a high-inflation environment, and Client's protection against unwanted increases is the right to decline and terminate without wind-down fees under subsection (c).</w:t>
      </w:r>
    </w:p>
    <w:p>
      <w:pPr>
        <w:spacing w:after="80" w:line="288" w:lineRule="auto"/>
      </w:pPr>
      <w:r>
        <w:rPr>
          <w:rFonts w:ascii="Open Sans" w:hAnsi="Open Sans" w:cs="Open Sans"/>
          <w:b/>
          <w:i w:val="0"/>
          <w:color w:val="1A1A2E"/>
          <w:sz w:val="20"/>
        </w:rPr>
        <w:t>5.02. Volume Discounts.</w:t>
      </w:r>
      <w:r>
        <w:rPr>
          <w:rFonts w:ascii="Open Sans" w:hAnsi="Open Sans" w:cs="Open Sans"/>
          <w:b w:val="0"/>
          <w:i w:val="0"/>
          <w:color w:val="59595B"/>
          <w:sz w:val="20"/>
        </w:rPr>
        <w:t xml:space="preserve"> Volume-based pricing may be negotiated and documented in the applicable Service Order or Subscription Order.</w:t>
      </w:r>
    </w:p>
    <w:p>
      <w:pPr>
        <w:spacing w:after="80" w:line="288" w:lineRule="auto"/>
      </w:pPr>
      <w:r>
        <w:rPr>
          <w:rFonts w:ascii="Open Sans" w:hAnsi="Open Sans" w:cs="Open Sans"/>
          <w:b/>
          <w:i w:val="0"/>
          <w:color w:val="1A1A2E"/>
          <w:sz w:val="20"/>
        </w:rPr>
        <w:t>5.03. Minimum Billing.</w:t>
      </w:r>
      <w:r>
        <w:rPr>
          <w:rFonts w:ascii="Open Sans" w:hAnsi="Open Sans" w:cs="Open Sans"/>
          <w:b w:val="0"/>
          <w:i w:val="0"/>
          <w:color w:val="59595B"/>
          <w:sz w:val="20"/>
        </w:rPr>
        <w:t xml:space="preserve"> Contracted Virtual Staff hours are billed per the Cycle-Based Billing Model in Schedule A, Part 3, at the Contracted Rate. Ad-hoc (non-contracted) support is billed at the Hourly Rate (or After-Hours Rate, if applicable) in 15-minute increments. Upon cancellation or termination, any unpaid hour balance shall be invoiced at the applicable Hourly Rate as set forth in Schedule A, Section 3.3(e).</w:t>
      </w:r>
    </w:p>
    <w:p>
      <w:pPr>
        <w:spacing w:after="80" w:line="288" w:lineRule="auto"/>
      </w:pPr>
      <w:r>
        <w:rPr>
          <w:rFonts w:ascii="Open Sans" w:hAnsi="Open Sans" w:cs="Open Sans"/>
          <w:b/>
          <w:i w:val="0"/>
          <w:color w:val="1A1A2E"/>
          <w:sz w:val="20"/>
        </w:rPr>
        <w:t>5.04. Relationship to Service Order.</w:t>
      </w:r>
      <w:r>
        <w:rPr>
          <w:rFonts w:ascii="Open Sans" w:hAnsi="Open Sans" w:cs="Open Sans"/>
          <w:b w:val="0"/>
          <w:i w:val="0"/>
          <w:color w:val="59595B"/>
          <w:sz w:val="20"/>
        </w:rPr>
        <w:t xml:space="preserve"> The rates in this Schedule are the standard rates for all services available under the Agreement. The specific quantities, services, and any client-specific discounts or non-standard rates applicable to Client are set forth in the Service Order in Schedule A, Section 4 and any Subscription Order under Schedule B. In the event of a conflict between a rate in this Schedule and a rate in an executed Service Order or Subscription Order, the Service Order or Subscription Order rate shall prevail for the specific service to which it applies.</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SIGNATURES</w:t>
      </w:r>
    </w:p>
    <w:p>
      <w:pPr>
        <w:spacing w:after="80" w:line="288" w:lineRule="auto"/>
      </w:pPr>
      <w:r>
        <w:rPr>
          <w:rFonts w:ascii="Open Sans" w:hAnsi="Open Sans" w:cs="Open Sans"/>
          <w:b/>
          <w:i w:val="0"/>
          <w:color w:val="1A1A2E"/>
          <w:sz w:val="20"/>
        </w:rPr>
        <w:t>TECHNIJIAN, INC.</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Ravi Jain</w:t>
      </w:r>
    </w:p>
    <w:p>
      <w:pPr>
        <w:spacing w:after="80" w:line="288" w:lineRule="auto"/>
      </w:pPr>
      <w:r>
        <w:rPr>
          <w:rFonts w:ascii="Open Sans" w:hAnsi="Open Sans" w:cs="Open Sans"/>
          <w:b w:val="0"/>
          <w:i w:val="0"/>
          <w:color w:val="59595B"/>
          <w:sz w:val="20"/>
        </w:rPr>
        <w:t>Title: President</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i w:val="0"/>
          <w:color w:val="1A1A2E"/>
          <w:sz w:val="20"/>
        </w:rPr>
        <w:t>TALLEY &amp; ASSOCIATES</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Robert L. Evens</w:t>
      </w:r>
    </w:p>
    <w:p>
      <w:pPr>
        <w:spacing w:after="80" w:line="288" w:lineRule="auto"/>
      </w:pPr>
      <w:r>
        <w:rPr>
          <w:rFonts w:ascii="Open Sans" w:hAnsi="Open Sans" w:cs="Open Sans"/>
          <w:b w:val="0"/>
          <w:i w:val="0"/>
          <w:color w:val="59595B"/>
          <w:sz w:val="20"/>
        </w:rPr>
        <w:t xml:space="preserve">Title: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