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d01a08f20bcb01ec924ff836125616bdef199c1"/>
    <w:p>
      <w:pPr>
        <w:pStyle w:val="Heading1"/>
      </w:pPr>
      <w:r>
        <w:t xml:space="preserve">Suggested Communication Template — Callahan &amp; Blaine to Baker &amp; Hostetler</w:t>
      </w:r>
    </w:p>
    <w:p>
      <w:pPr>
        <w:pStyle w:val="FirstParagraph"/>
      </w:pPr>
      <w:r>
        <w:rPr>
          <w:b/>
          <w:bCs/>
        </w:rPr>
        <w:t xml:space="preserve">Matter:</w:t>
      </w:r>
      <w:r>
        <w:t xml:space="preserve"> </w:t>
      </w:r>
      <w:r>
        <w:rPr>
          <w:i/>
          <w:iCs/>
        </w:rPr>
        <w:t xml:space="preserve">Technijian, Inc. v. Vintage Design, LLC</w:t>
      </w:r>
      <w:r>
        <w:t xml:space="preserve"> </w:t>
      </w:r>
      <w:r>
        <w:t xml:space="preserve">— AAA Commercial Arbitration No. 169358</w:t>
      </w:r>
      <w:r>
        <w:t xml:space="preserve"> </w:t>
      </w:r>
      <w:r>
        <w:rPr>
          <w:b/>
          <w:bCs/>
        </w:rPr>
        <w:t xml:space="preserve">Drafted by:</w:t>
      </w:r>
      <w:r>
        <w:t xml:space="preserve"> </w:t>
      </w:r>
      <w:r>
        <w:t xml:space="preserve">Technijian, for Callahan &amp; Blaine to adapt and transmit</w:t>
      </w:r>
      <w:r>
        <w:t xml:space="preserve"> </w:t>
      </w:r>
      <w:r>
        <w:rPr>
          <w:b/>
          <w:bCs/>
        </w:rPr>
        <w:t xml:space="preserve">Date:</w:t>
      </w:r>
      <w:r>
        <w:t xml:space="preserve"> </w:t>
      </w:r>
      <w:r>
        <w:t xml:space="preserve">2026-04-30</w:t>
      </w:r>
      <w:r>
        <w:t xml:space="preserve"> </w:t>
      </w:r>
      <w:r>
        <w:rPr>
          <w:b/>
          <w:bCs/>
        </w:rPr>
        <w:t xml:space="preserve">Suggested recipients:</w:t>
      </w:r>
      <w:r>
        <w:t xml:space="preserve"> </w:t>
      </w:r>
      <w:r>
        <w:t xml:space="preserve">Shaia A. Stambuk (</w:t>
      </w:r>
      <w:r>
        <w:rPr>
          <w:rStyle w:val="VerbatimChar"/>
        </w:rPr>
        <w:t xml:space="preserve">sstambuk@bakerlaw.com</w:t>
      </w:r>
      <w:r>
        <w:t xml:space="preserve">), Cc Eric L. Barnum (</w:t>
      </w:r>
      <w:r>
        <w:rPr>
          <w:rStyle w:val="VerbatimChar"/>
        </w:rPr>
        <w:t xml:space="preserve">ebarnum@bakerlaw.com</w:t>
      </w:r>
      <w:r>
        <w:t xml:space="preserve">); from Edward Susolik (</w:t>
      </w:r>
      <w:r>
        <w:rPr>
          <w:rStyle w:val="VerbatimChar"/>
        </w:rPr>
        <w:t xml:space="preserve">es@callahan-law.com</w:t>
      </w:r>
      <w:r>
        <w:t xml:space="preserve">), Cc Franklin T. Dunn (</w:t>
      </w:r>
      <w:r>
        <w:rPr>
          <w:rStyle w:val="VerbatimChar"/>
        </w:rPr>
        <w:t xml:space="preserve">fdunn@callahan-law.com</w:t>
      </w:r>
      <w:r>
        <w:t xml:space="preserve">), Yvonne Jimenez (</w:t>
      </w:r>
      <w:r>
        <w:rPr>
          <w:rStyle w:val="VerbatimChar"/>
        </w:rPr>
        <w:t xml:space="preserve">yjimenez@callahan-law.com</w:t>
      </w:r>
      <w:r>
        <w:t xml:space="preserve">)</w:t>
      </w:r>
      <w:r>
        <w:t xml:space="preserve"> </w:t>
      </w:r>
      <w:r>
        <w:rPr>
          <w:b/>
          <w:bCs/>
        </w:rPr>
        <w:t xml:space="preserve">Suggested subject:</w:t>
      </w:r>
      <w:r>
        <w:t xml:space="preserve"> </w:t>
      </w:r>
      <w:r>
        <w:rPr>
          <w:rStyle w:val="VerbatimChar"/>
        </w:rPr>
        <w:t xml:space="preserve">Technijian, Inc. v. Vintage Design, LLC — Document Production and Damages Reconciliation</w:t>
      </w:r>
      <w:r>
        <w:t xml:space="preserve"> </w:t>
      </w:r>
      <w:r>
        <w:rPr>
          <w:b/>
          <w:bCs/>
        </w:rPr>
        <w:t xml:space="preserve">Posture:</w:t>
      </w:r>
      <w:r>
        <w:t xml:space="preserve"> </w:t>
      </w:r>
      <w:r>
        <w:t xml:space="preserve">Settlement-track communication, Cal. Evid. Code § 1152 / FRE 408 protected. Lead with Tier 1 (course-of-performance + ratification anchored at the $240,487.50 Demand). The cycle-as-mechanism / matching-duration analysis is held in reserve as a contingent fallback and is</w:t>
      </w:r>
      <w:r>
        <w:t xml:space="preserve"> </w:t>
      </w:r>
      <w:r>
        <w:rPr>
          <w:b/>
          <w:bCs/>
        </w:rPr>
        <w:t xml:space="preserve">not deployed in this letter</w:t>
      </w:r>
      <w:r>
        <w:t xml:space="preserve">.</w:t>
      </w:r>
    </w:p>
    <w:p>
      <w:r>
        <w:pict>
          <v:rect style="width:0;height:1.5pt" o:hralign="center" o:hrstd="t" o:hr="t"/>
        </w:pict>
      </w:r>
    </w:p>
    <w:bookmarkStart w:id="15" w:name="suggested-body"/>
    <w:p>
      <w:pPr>
        <w:pStyle w:val="Heading2"/>
      </w:pPr>
      <w:r>
        <w:t xml:space="preserve">Suggested Body</w:t>
      </w:r>
    </w:p>
    <w:p>
      <w:pPr>
        <w:pStyle w:val="BlockText"/>
      </w:pPr>
      <w:r>
        <w:t xml:space="preserve">Counsel,</w:t>
      </w:r>
    </w:p>
    <w:p>
      <w:pPr>
        <w:pStyle w:val="BlockText"/>
      </w:pPr>
      <w:r>
        <w:t xml:space="preserve">Following up on our exchanges of April 6 and April 17, this letter provides the document production and damages reconciliation referenced in your prior correspondence. The materials are organized in two ShareFile folders shared with your office: 138 monthly invoices and 369 weekly statements / time-entry attachments covering the full 27-month service period (May 2023 through July 2025). All amounts and hours below are reconciled against those documents, which are the records as transmitted to ericagarcia@vintagedesigninc.com from billing@technijian.com during the relationship.</w:t>
      </w:r>
    </w:p>
    <w:p>
      <w:pPr>
        <w:pStyle w:val="Heading3"/>
      </w:pPr>
      <w:bookmarkStart w:id="9" w:name="document-architecture"/>
      <w:r>
        <w:t xml:space="preserve">1. Document architecture</w:t>
      </w:r>
      <w:bookmarkEnd w:id="9"/>
    </w:p>
    <w:p>
      <w:pPr>
        <w:pStyle w:val="BlockText"/>
      </w:pPr>
      <w:r>
        <w:t xml:space="preserve">Each monthly invoice is a hybrid document covering two service months simultaneously. The online-services line items (AV protection, patch management, secure DNS, my-remote, backup storage, etc.) bill for the same calendar month the invoice is dated. The support-hour line items (offshore normal, offshore after-hours, onshore Tech Support) bill 30 days in advance for the following month. Net-30 payment terms applied throughout. By way of example, the invoice dated June 1, 2024, transmitted via email on June 2, 2024, charged for June 2024 online services and July 2024 support hours, with payment due July 1, 2024.</w:t>
      </w:r>
    </w:p>
    <w:p>
      <w:pPr>
        <w:pStyle w:val="BlockText"/>
      </w:pPr>
      <w:r>
        <w:t xml:space="preserve">Each monthly invoice email also carried a</w:t>
      </w:r>
      <w:r>
        <w:t xml:space="preserve"> </w:t>
      </w:r>
      <w:r>
        <w:t xml:space="preserve">“Monthly Time Entries”</w:t>
      </w:r>
      <w:r>
        <w:t xml:space="preserve"> </w:t>
      </w:r>
      <w:r>
        <w:t xml:space="preserve">spreadsheet detailing the actual hours of support performed during the prior month, in arrears. Time entries logged by technicians after the monthly cutoff appear on the next weekly time-entry spreadsheet that follows; both monthly and weekly attachments were transmitted to your client’s accounts-payable contact and are in the ShareFile production set.</w:t>
      </w:r>
    </w:p>
    <w:p>
      <w:pPr>
        <w:pStyle w:val="BlockText"/>
      </w:pPr>
      <w:r>
        <w:t xml:space="preserve">The May 2023 and June 2023 invoices are first-month exceptions: they were issued before May 1, 2023, to be paid by May 1 and June 1 respectively, before any prior under-contract period existed against which to compute an advance. From the June 1, 2023 invoice email forward, the standard advance-billing pattern applied without exception.</w:t>
      </w:r>
    </w:p>
    <w:p>
      <w:pPr>
        <w:pStyle w:val="BlockText"/>
      </w:pPr>
      <w:r>
        <w:t xml:space="preserve">Onsite tech-support visits and discrete project work are billed separately under out-of-contract or Invoice-type ticket bundles and are not part of the monthly under-contract cycle. Those records are included in the production set for completeness but are excluded from the cancellation-fee reconciliation, which is governed by the under-contract billing line items only.</w:t>
      </w:r>
    </w:p>
    <w:p>
      <w:pPr>
        <w:pStyle w:val="Heading3"/>
      </w:pPr>
      <w:bookmarkStart w:id="10" w:name="reconciled-period-totals"/>
      <w:r>
        <w:t xml:space="preserve">2. Reconciled period totals</w:t>
      </w:r>
      <w:bookmarkEnd w:id="10"/>
    </w:p>
    <w:p>
      <w:pPr>
        <w:pStyle w:val="BlockText"/>
      </w:pPr>
      <w:r>
        <w:t xml:space="preserve">Aggregating Under-Contract time entries from the monthly and weekly attachments transmitted to your client over the service period:</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Period</w:t>
            </w:r>
          </w:p>
        </w:tc>
        <w:tc>
          <w:tcPr/>
          <w:p>
            <w:pPr>
              <w:pStyle w:val="Compact"/>
              <w:jc w:val="right"/>
            </w:pPr>
            <w:r>
              <w:t xml:space="preserve">Months</w:t>
            </w:r>
          </w:p>
        </w:tc>
        <w:tc>
          <w:tcPr/>
          <w:p>
            <w:pPr>
              <w:pStyle w:val="Compact"/>
              <w:jc w:val="right"/>
            </w:pPr>
            <w:r>
              <w:t xml:space="preserve">Billed Hours</w:t>
            </w:r>
          </w:p>
        </w:tc>
        <w:tc>
          <w:tcPr/>
          <w:p>
            <w:pPr>
              <w:pStyle w:val="Compact"/>
              <w:jc w:val="right"/>
            </w:pPr>
            <w:r>
              <w:t xml:space="preserve">Actual Hours</w:t>
            </w:r>
          </w:p>
        </w:tc>
        <w:tc>
          <w:tcPr/>
          <w:p>
            <w:pPr>
              <w:pStyle w:val="Compact"/>
              <w:jc w:val="right"/>
            </w:pPr>
            <w:r>
              <w:t xml:space="preserve">Δ (Actual − Billed)</w:t>
            </w:r>
          </w:p>
        </w:tc>
      </w:tr>
      <w:tr>
        <w:tc>
          <w:tcPr/>
          <w:p>
            <w:pPr>
              <w:pStyle w:val="Compact"/>
            </w:pPr>
            <w:r>
              <w:t xml:space="preserve">P1 (May 2023 – Apr 2024)</w:t>
            </w:r>
          </w:p>
        </w:tc>
        <w:tc>
          <w:tcPr/>
          <w:p>
            <w:pPr>
              <w:pStyle w:val="Compact"/>
              <w:jc w:val="right"/>
            </w:pPr>
            <w:r>
              <w:t xml:space="preserve">12</w:t>
            </w:r>
          </w:p>
        </w:tc>
        <w:tc>
          <w:tcPr/>
          <w:p>
            <w:pPr>
              <w:pStyle w:val="Compact"/>
              <w:jc w:val="right"/>
            </w:pPr>
            <w:r>
              <w:t xml:space="preserve">960.00</w:t>
            </w:r>
          </w:p>
        </w:tc>
        <w:tc>
          <w:tcPr/>
          <w:p>
            <w:pPr>
              <w:pStyle w:val="Compact"/>
              <w:jc w:val="right"/>
            </w:pPr>
            <w:r>
              <w:t xml:space="preserve">1,990.79</w:t>
            </w:r>
          </w:p>
        </w:tc>
        <w:tc>
          <w:tcPr/>
          <w:p>
            <w:pPr>
              <w:pStyle w:val="Compact"/>
              <w:jc w:val="right"/>
            </w:pPr>
            <w:r>
              <w:t xml:space="preserve">+1,030.79</w:t>
            </w:r>
          </w:p>
        </w:tc>
      </w:tr>
      <w:tr>
        <w:tc>
          <w:tcPr/>
          <w:p>
            <w:pPr>
              <w:pStyle w:val="Compact"/>
            </w:pPr>
            <w:r>
              <w:t xml:space="preserve">P2 (May 2024 – Apr 2025)</w:t>
            </w:r>
          </w:p>
        </w:tc>
        <w:tc>
          <w:tcPr/>
          <w:p>
            <w:pPr>
              <w:pStyle w:val="Compact"/>
              <w:jc w:val="right"/>
            </w:pPr>
            <w:r>
              <w:t xml:space="preserve">12</w:t>
            </w:r>
          </w:p>
        </w:tc>
        <w:tc>
          <w:tcPr/>
          <w:p>
            <w:pPr>
              <w:pStyle w:val="Compact"/>
              <w:jc w:val="right"/>
            </w:pPr>
            <w:r>
              <w:t xml:space="preserve">1,934.93</w:t>
            </w:r>
          </w:p>
        </w:tc>
        <w:tc>
          <w:tcPr/>
          <w:p>
            <w:pPr>
              <w:pStyle w:val="Compact"/>
              <w:jc w:val="right"/>
            </w:pPr>
            <w:r>
              <w:t xml:space="preserve">2,665.69</w:t>
            </w:r>
          </w:p>
        </w:tc>
        <w:tc>
          <w:tcPr/>
          <w:p>
            <w:pPr>
              <w:pStyle w:val="Compact"/>
              <w:jc w:val="right"/>
            </w:pPr>
            <w:r>
              <w:t xml:space="preserve">+730.76</w:t>
            </w:r>
          </w:p>
        </w:tc>
      </w:tr>
      <w:tr>
        <w:tc>
          <w:tcPr/>
          <w:p>
            <w:pPr>
              <w:pStyle w:val="Compact"/>
            </w:pPr>
            <w:r>
              <w:t xml:space="preserve">P3 (May 2025 – Jul 2025, terminated)</w:t>
            </w:r>
          </w:p>
        </w:tc>
        <w:tc>
          <w:tcPr/>
          <w:p>
            <w:pPr>
              <w:pStyle w:val="Compact"/>
              <w:jc w:val="right"/>
            </w:pPr>
            <w:r>
              <w:t xml:space="preserve">3</w:t>
            </w:r>
          </w:p>
        </w:tc>
        <w:tc>
          <w:tcPr/>
          <w:p>
            <w:pPr>
              <w:pStyle w:val="Compact"/>
              <w:jc w:val="right"/>
            </w:pPr>
            <w:r>
              <w:t xml:space="preserve">582.03</w:t>
            </w:r>
          </w:p>
        </w:tc>
        <w:tc>
          <w:tcPr/>
          <w:p>
            <w:pPr>
              <w:pStyle w:val="Compact"/>
              <w:jc w:val="right"/>
            </w:pPr>
            <w:r>
              <w:t xml:space="preserve">388.36</w:t>
            </w:r>
          </w:p>
        </w:tc>
        <w:tc>
          <w:tcPr/>
          <w:p>
            <w:pPr>
              <w:pStyle w:val="Compact"/>
              <w:jc w:val="right"/>
            </w:pPr>
            <w:r>
              <w:t xml:space="preserve">−193.67</w:t>
            </w:r>
          </w:p>
        </w:tc>
      </w:tr>
      <w:tr>
        <w:tc>
          <w:tcPr/>
          <w:p>
            <w:pPr>
              <w:pStyle w:val="Compact"/>
            </w:pPr>
            <w:r>
              <w:rPr>
                <w:b/>
                <w:bCs/>
              </w:rPr>
              <w:t xml:space="preserve">Inception to termination</w:t>
            </w:r>
          </w:p>
        </w:tc>
        <w:tc>
          <w:tcPr/>
          <w:p>
            <w:pPr>
              <w:pStyle w:val="Compact"/>
              <w:jc w:val="right"/>
            </w:pPr>
            <w:r>
              <w:t xml:space="preserve">27</w:t>
            </w:r>
          </w:p>
        </w:tc>
        <w:tc>
          <w:tcPr/>
          <w:p>
            <w:pPr>
              <w:pStyle w:val="Compact"/>
              <w:jc w:val="right"/>
            </w:pPr>
            <w:r>
              <w:rPr>
                <w:b/>
                <w:bCs/>
              </w:rPr>
              <w:t xml:space="preserve">3,476.96</w:t>
            </w:r>
          </w:p>
        </w:tc>
        <w:tc>
          <w:tcPr/>
          <w:p>
            <w:pPr>
              <w:pStyle w:val="Compact"/>
              <w:jc w:val="right"/>
            </w:pPr>
            <w:r>
              <w:rPr>
                <w:b/>
                <w:bCs/>
              </w:rPr>
              <w:t xml:space="preserve">5,044.84</w:t>
            </w:r>
          </w:p>
        </w:tc>
        <w:tc>
          <w:tcPr/>
          <w:p>
            <w:pPr>
              <w:pStyle w:val="Compact"/>
              <w:jc w:val="right"/>
            </w:pPr>
            <w:r>
              <w:rPr>
                <w:b/>
                <w:bCs/>
              </w:rPr>
              <w:t xml:space="preserve">+1,567.88</w:t>
            </w:r>
          </w:p>
        </w:tc>
      </w:tr>
    </w:tbl>
    <w:p>
      <w:pPr>
        <w:pStyle w:val="BlockText"/>
      </w:pPr>
      <w:r>
        <w:t xml:space="preserve">Each period’s billed hours derive from the canonical Monthly-type invoices in our register; voided and post-termination entries are excluded. Each period’s actual hours derive from the Under-Contract time entries on the monthly and weekly spreadsheets transmitted to your client. The delta of 1,567.88 hours is the inception-to-termination unbilled balance.</w:t>
      </w:r>
    </w:p>
    <w:p>
      <w:pPr>
        <w:pStyle w:val="Heading3"/>
      </w:pPr>
      <w:bookmarkStart w:id="11" w:name="cancellation-fee-calculation"/>
      <w:r>
        <w:t xml:space="preserve">3. Cancellation-fee calculation</w:t>
      </w:r>
      <w:bookmarkEnd w:id="11"/>
    </w:p>
    <w:p>
      <w:pPr>
        <w:pStyle w:val="BlockText"/>
      </w:pPr>
      <w:r>
        <w:t xml:space="preserve">Applying the cancellation rate of $150 per hour from the signed Client Monthly Service Agreement to the inception-to-termination unbilled balance: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jc w:val="right"/>
            </w:pPr>
            <w:r>
              <w:t xml:space="preserve">Amount</w:t>
            </w:r>
          </w:p>
        </w:tc>
      </w:tr>
      <w:tr>
        <w:tc>
          <w:tcPr/>
          <w:p>
            <w:pPr>
              <w:pStyle w:val="Compact"/>
            </w:pPr>
            <w:r>
              <w:t xml:space="preserve">1,567.88 hours × $150/hr</w:t>
            </w:r>
          </w:p>
        </w:tc>
        <w:tc>
          <w:tcPr/>
          <w:p>
            <w:pPr>
              <w:pStyle w:val="Compact"/>
              <w:jc w:val="right"/>
            </w:pPr>
            <w:r>
              <w:t xml:space="preserve">$235,182.00</w:t>
            </w:r>
          </w:p>
        </w:tc>
      </w:tr>
      <w:tr>
        <w:tc>
          <w:tcPr/>
          <w:p>
            <w:pPr>
              <w:pStyle w:val="Compact"/>
            </w:pPr>
            <w:r>
              <w:t xml:space="preserve">10% late fee (Other Terms ¶ 3)</w:t>
            </w:r>
          </w:p>
        </w:tc>
        <w:tc>
          <w:tcPr/>
          <w:p>
            <w:pPr>
              <w:pStyle w:val="Compact"/>
              <w:jc w:val="right"/>
            </w:pPr>
            <w:r>
              <w:t xml:space="preserve">$23,518.20</w:t>
            </w:r>
          </w:p>
        </w:tc>
      </w:tr>
      <w:tr>
        <w:tc>
          <w:tcPr/>
          <w:p>
            <w:pPr>
              <w:pStyle w:val="Compact"/>
            </w:pPr>
            <w:r>
              <w:rPr>
                <w:b/>
                <w:bCs/>
              </w:rPr>
              <w:t xml:space="preserve">Total</w:t>
            </w:r>
          </w:p>
        </w:tc>
        <w:tc>
          <w:tcPr/>
          <w:p>
            <w:pPr>
              <w:pStyle w:val="Compact"/>
              <w:jc w:val="right"/>
            </w:pPr>
            <w:r>
              <w:rPr>
                <w:b/>
                <w:bCs/>
              </w:rPr>
              <w:t xml:space="preserve">$258,700.20</w:t>
            </w:r>
          </w:p>
        </w:tc>
      </w:tr>
    </w:tbl>
    <w:p>
      <w:pPr>
        <w:pStyle w:val="BlockText"/>
      </w:pPr>
      <w:r>
        <w:t xml:space="preserve">The Demand on record at $240,487.50 (with the $67.65 R-6 arithmetic conformation) sits within this range and is the figure we are prepared to support at hearing.</w:t>
      </w:r>
    </w:p>
    <w:p>
      <w:pPr>
        <w:pStyle w:val="Heading3"/>
      </w:pPr>
      <w:bookmarkStart w:id="12" w:name="Xa8306452b84fb6bdf4c327c828659af7c6dd311"/>
      <w:r>
        <w:t xml:space="preserve">4. Response to the Period 1 / averaging argument</w:t>
      </w:r>
      <w:bookmarkEnd w:id="12"/>
    </w:p>
    <w:p>
      <w:pPr>
        <w:pStyle w:val="BlockText"/>
      </w:pPr>
      <w:r>
        <w:t xml:space="preserve">Your April 6, 2026 letter argued that the averaging mechanism in Under Contract ¶¶ 3-4</w:t>
      </w:r>
      <w:r>
        <w:t xml:space="preserve"> </w:t>
      </w:r>
      <w:r>
        <w:t xml:space="preserve">“fully collected”</w:t>
      </w:r>
      <w:r>
        <w:t xml:space="preserve"> </w:t>
      </w:r>
      <w:r>
        <w:t xml:space="preserve">Period 1 (May 2023 – April 2024) excess via Period 2’s elevated billing rate, and that Mr. Jain’s June 24, 2025 termination email supports limiting Technijian’s recovery to the 2024-2025 period. We respectfully disagree on both grounds — first as a matter of contract mechanics, and second as a matter of the data.</w:t>
      </w:r>
    </w:p>
    <w:p>
      <w:pPr>
        <w:pStyle w:val="BlockText"/>
      </w:pPr>
      <w:r>
        <w:rPr>
          <w:b/>
          <w:bCs/>
        </w:rPr>
        <w:t xml:space="preserve">On the contract mechanics.</w:t>
      </w:r>
      <w:r>
        <w:t xml:space="preserve"> </w:t>
      </w:r>
      <w:r>
        <w:t xml:space="preserve">Paragraphs 3 and 4 of the Under Contract section describe an operational placeholder-and-reconciliation mechanism that exists because of the 30-day advance-billing convention in Other Terms ¶ 2. When the 12-month cycle is about to close, the first invoice for the next cycle must already be issued before the prior cycle’s final month closes — at which point only the first 11 months of actual data (N − 1) are available to compute the new monthly average. The first month of the new cycle is therefore charged at the</w:t>
      </w:r>
      <w:r>
        <w:t xml:space="preserve"> </w:t>
      </w:r>
      <w:r>
        <w:rPr>
          <w:b/>
          <w:bCs/>
        </w:rPr>
        <w:t xml:space="preserve">previous cycle’s average as a placeholder</w:t>
      </w:r>
      <w:r>
        <w:t xml:space="preserve"> </w:t>
      </w:r>
      <w:r>
        <w:t xml:space="preserve">(paragraph 3). Once the 12th month closes and the full prior-period actuals are known, the difference between the placeholder rate and the true new average is reconciled on the</w:t>
      </w:r>
      <w:r>
        <w:t xml:space="preserve"> </w:t>
      </w:r>
      <w:r>
        <w:rPr>
          <w:b/>
          <w:bCs/>
        </w:rPr>
        <w:t xml:space="preserve">next month’s invoice via a one-time adjustment line</w:t>
      </w:r>
      <w:r>
        <w:t xml:space="preserve"> </w:t>
      </w:r>
      <w:r>
        <w:t xml:space="preserve">(paragraph 4): an extra charge if the new average is higher, a credit if it is lower. The adjustment applies to a single placeholder month and is settled on a single subsequent invoice. It is a smoothing mechanism for the cycle transition, not a 12-month elevated rate that</w:t>
      </w:r>
      <w:r>
        <w:t xml:space="preserve"> </w:t>
      </w:r>
      <w:r>
        <w:t xml:space="preserve">“collects”</w:t>
      </w:r>
      <w:r>
        <w:t xml:space="preserve"> </w:t>
      </w:r>
      <w:r>
        <w:t xml:space="preserve">prior unbilled hours over the following year. Paragraph 5 —</w:t>
      </w:r>
      <w:r>
        <w:t xml:space="preserve"> </w:t>
      </w:r>
      <w:r>
        <w:t xml:space="preserve">“any hours that exceeded the previous under contract period average”</w:t>
      </w:r>
      <w:r>
        <w:t xml:space="preserve"> </w:t>
      </w:r>
      <w:r>
        <w:t xml:space="preserve">— is the separate, distinct mechanism that addresses unbilled actual hours at termination.</w:t>
      </w:r>
    </w:p>
    <w:p>
      <w:pPr>
        <w:pStyle w:val="BlockText"/>
      </w:pPr>
      <w:r>
        <w:rPr>
          <w:b/>
          <w:bCs/>
        </w:rPr>
        <w:t xml:space="preserve">On the data.</w:t>
      </w:r>
      <w:r>
        <w:t xml:space="preserve"> </w:t>
      </w:r>
      <w:r>
        <w:t xml:space="preserve">Independently, the actual billing system applied the averaging mechanism below the contract-mandated rate at both cycle boundaries, not above it. P2 monthly billed quantity for offshore support was 76.77 hours per month against P1’s actual monthly average of 81.86 hours per month — a deficit of 5.10 hours per month. P3 monthly billed quantity for offshore support was 96.35 hours per month against P2’s actual monthly average of 114.87 hours per month — a deficit of 18.52 hours per month. The averaging under-billed Vintage Design relative to the contract math at every boundary the mechanism was applied. A premise that the averaging</w:t>
      </w:r>
      <w:r>
        <w:t xml:space="preserve"> </w:t>
      </w:r>
      <w:r>
        <w:t xml:space="preserve">“fully collected”</w:t>
      </w:r>
      <w:r>
        <w:t xml:space="preserve"> </w:t>
      </w:r>
      <w:r>
        <w:t xml:space="preserve">the prior period therefore does not survive contact with the documents now in your possession.</w:t>
      </w:r>
    </w:p>
    <w:p>
      <w:pPr>
        <w:pStyle w:val="BlockText"/>
      </w:pPr>
      <w:r>
        <w:t xml:space="preserve">Second, on Mr. Jain’s June 24, 2025 email: the same paragraph your letter quotes goes on to describe a separate cancellation calculation tied to</w:t>
      </w:r>
      <w:r>
        <w:t xml:space="preserve"> </w:t>
      </w:r>
      <w:r>
        <w:t xml:space="preserve">“all the hours billed to you versus the actual hours of support given,”</w:t>
      </w:r>
      <w:r>
        <w:t xml:space="preserve"> </w:t>
      </w:r>
      <w:r>
        <w:t xml:space="preserve">with any unbilled actual hours billed at $150 per hour. Mr. Jain’s email attached a spreadsheet showing those hours</w:t>
      </w:r>
      <w:r>
        <w:t xml:space="preserve"> </w:t>
      </w:r>
      <w:r>
        <w:t xml:space="preserve">“since we started working with you”</w:t>
      </w:r>
      <w:r>
        <w:t xml:space="preserve"> </w:t>
      </w:r>
      <w:r>
        <w:t xml:space="preserve">— the multi-period total, not a</w:t>
      </w:r>
      <w:r>
        <w:t xml:space="preserve"> </w:t>
      </w:r>
      <w:r>
        <w:t xml:space="preserve">“last 12 months only”</w:t>
      </w:r>
      <w:r>
        <w:t xml:space="preserve"> </w:t>
      </w:r>
      <w:r>
        <w:t xml:space="preserve">figure — and arrived at 1,143.98 unbilled hours × $150 = $171,597. The corrected figure with full reconciliation across the 27-month period is the 1,567.88 hours summarized in section 2 above.</w:t>
      </w:r>
    </w:p>
    <w:p>
      <w:pPr>
        <w:pStyle w:val="BlockText"/>
      </w:pPr>
      <w:r>
        <w:t xml:space="preserve">Course of performance and ratification are independently dispositive. Vintage Design received 168 weekly invoices and 28 monthly invoices over the 27-month relationship. Postmaster receipts confirm delivery of every transmission. Aside from 13 out-of-office auto-replies from Ms. Garcia, our records reflect zero substantive objection from Vintage Design to any invoice, time-entry record, or POD allocation during the entire performance period. Cal. Comm. Code § 1303(b);</w:t>
      </w:r>
      <w:r>
        <w:t xml:space="preserve"> </w:t>
      </w:r>
      <w:r>
        <w:rPr>
          <w:i/>
          <w:iCs/>
        </w:rPr>
        <w:t xml:space="preserve">Cobb v. Pacific Mut. Life Ins. Co.</w:t>
      </w:r>
      <w:r>
        <w:t xml:space="preserve"> </w:t>
      </w:r>
      <w:r>
        <w:t xml:space="preserve">(1935) 4 Cal.2d 565;</w:t>
      </w:r>
      <w:r>
        <w:t xml:space="preserve"> </w:t>
      </w:r>
      <w:r>
        <w:rPr>
          <w:i/>
          <w:iCs/>
        </w:rPr>
        <w:t xml:space="preserve">Gleason v. Klamer</w:t>
      </w:r>
      <w:r>
        <w:t xml:space="preserve"> </w:t>
      </w:r>
      <w:r>
        <w:t xml:space="preserve">(1980) 103 Cal.App.3d 782. Ms. Garcia’s signature on the May 4, 2023 Client Monthly Service Agreement and her continued performance through July 2025 constitute ratification of the billing methodology under</w:t>
      </w:r>
      <w:r>
        <w:t xml:space="preserve"> </w:t>
      </w:r>
      <w:r>
        <w:rPr>
          <w:i/>
          <w:iCs/>
        </w:rPr>
        <w:t xml:space="preserve">Rakestraw v. Rodrigues</w:t>
      </w:r>
      <w:r>
        <w:t xml:space="preserve"> </w:t>
      </w:r>
      <w:r>
        <w:t xml:space="preserve">(1972) 8 Cal.3d 67, 73.</w:t>
      </w:r>
    </w:p>
    <w:p>
      <w:pPr>
        <w:pStyle w:val="Heading3"/>
      </w:pPr>
      <w:bookmarkStart w:id="13" w:name="X200ffd1ab48b4d7e03d3fbc5b6cd8f32b7de195"/>
      <w:r>
        <w:t xml:space="preserve">5. The August 2025 invoice (#26205 / register #43406)</w:t>
      </w:r>
      <w:bookmarkEnd w:id="13"/>
    </w:p>
    <w:p>
      <w:pPr>
        <w:pStyle w:val="BlockText"/>
      </w:pPr>
      <w:r>
        <w:t xml:space="preserve">Termination was effective July 31, 2025. The invoice dated August 1, 2025 should not have been issued; it advance-billed for September 2025 support and current-month August 2025 online services, neither of which was performed. We are voiding the invoice on our books and have removed it from the production set as a matter of record. We mention it solely so that there is no inference of double-billing or post-termination claim.</w:t>
      </w:r>
    </w:p>
    <w:p>
      <w:pPr>
        <w:pStyle w:val="Heading3"/>
      </w:pPr>
      <w:bookmarkStart w:id="14" w:name="path-forward"/>
      <w:r>
        <w:t xml:space="preserve">6. Path forward</w:t>
      </w:r>
      <w:bookmarkEnd w:id="14"/>
    </w:p>
    <w:p>
      <w:pPr>
        <w:pStyle w:val="BlockText"/>
      </w:pPr>
      <w:r>
        <w:t xml:space="preserve">The reconciliation supports the Demand at $240,487.50 (with R-6 conformation). We are open to settlement discussions on terms consistent with that figure. Should the matter proceed to hearing, additional analytical frameworks remain available to address the cycle-mechanism question raised in your April 6 letter; we are content to address those at the appropriate time.</w:t>
      </w:r>
    </w:p>
    <w:p>
      <w:pPr>
        <w:pStyle w:val="BlockText"/>
      </w:pPr>
      <w:r>
        <w:t xml:space="preserve">Please direct any questions on the production set or the reconciliation to Frank Dunn at this firm. We anticipate the next AAA scheduling conference on June 2, 2026.</w:t>
      </w:r>
    </w:p>
    <w:p>
      <w:pPr>
        <w:pStyle w:val="BlockText"/>
      </w:pPr>
      <w:r>
        <w:t xml:space="preserve">Sincerely,</w:t>
      </w:r>
      <w:r>
        <w:t xml:space="preserve"> </w:t>
      </w:r>
      <w:r>
        <w:t xml:space="preserve">[Edward Susolik]</w:t>
      </w:r>
      <w:r>
        <w:t xml:space="preserve"> </w:t>
      </w:r>
      <w:r>
        <w:t xml:space="preserve">[Franklin T. Dunn]</w:t>
      </w:r>
    </w:p>
    <w:p>
      <w:r>
        <w:pict>
          <v:rect style="width:0;height:1.5pt" o:hralign="center" o:hrstd="t" o:hr="t"/>
        </w:pict>
      </w:r>
    </w:p>
    <w:bookmarkEnd w:id="15"/>
    <w:bookmarkStart w:id="16" w:name="Xac2e4e4894b86f1c2ccd6143d8a6a51026743b6"/>
    <w:p>
      <w:pPr>
        <w:pStyle w:val="Heading2"/>
      </w:pPr>
      <w:r>
        <w:t xml:space="preserve">Internal notes for Callahan (not to transmit)</w:t>
      </w:r>
    </w:p>
    <w:p>
      <w:pPr>
        <w:pStyle w:val="Compact"/>
        <w:numPr>
          <w:ilvl w:val="0"/>
          <w:numId w:val="1001"/>
        </w:numPr>
      </w:pPr>
      <w:r>
        <w:t xml:space="preserve">The chain-trap / matching-duration reductio (the $407K cycle-as-mechanism figure) is</w:t>
      </w:r>
      <w:r>
        <w:t xml:space="preserve"> </w:t>
      </w:r>
      <w:r>
        <w:rPr>
          <w:b/>
          <w:bCs/>
        </w:rPr>
        <w:t xml:space="preserve">not deployed</w:t>
      </w:r>
      <w:r>
        <w:t xml:space="preserve"> </w:t>
      </w:r>
      <w:r>
        <w:t xml:space="preserve">in the above. It is the contingent Tier-2 wedge per the briefing memos transmitted 2026-04-28 and 2026-04-29, deployed only if Stambuk presses her cycle-mechanism premise after seeing the under-billing data.</w:t>
      </w:r>
    </w:p>
    <w:p>
      <w:pPr>
        <w:pStyle w:val="Compact"/>
        <w:numPr>
          <w:ilvl w:val="0"/>
          <w:numId w:val="1001"/>
        </w:numPr>
      </w:pPr>
      <w:r>
        <w:t xml:space="preserve">The $309,981 Scenario D ceiling and the $125,000 walk-away floor are internal numbers and should not appear in any external communication.</w:t>
      </w:r>
    </w:p>
    <w:p>
      <w:pPr>
        <w:pStyle w:val="Compact"/>
        <w:numPr>
          <w:ilvl w:val="0"/>
          <w:numId w:val="1001"/>
        </w:numPr>
      </w:pPr>
      <w:r>
        <w:t xml:space="preserve">“Jenna agreed”</w:t>
      </w:r>
      <w:r>
        <w:t xml:space="preserve"> </w:t>
      </w:r>
      <w:r>
        <w:t xml:space="preserve">— Stambuk has invoked Jenna Griffin’s alleged concession three times. We have no written record of any such concession. If Stambuk presses, ask her to produce the writing.</w:t>
      </w:r>
    </w:p>
    <w:p>
      <w:pPr>
        <w:pStyle w:val="Compact"/>
        <w:numPr>
          <w:ilvl w:val="0"/>
          <w:numId w:val="1001"/>
        </w:numPr>
      </w:pPr>
      <w:r>
        <w:t xml:space="preserve">The $67.65 R-6 arithmetic conformation should be made formally before any settlement memorialization.</w:t>
      </w:r>
    </w:p>
    <w:p>
      <w:pPr>
        <w:pStyle w:val="Compact"/>
        <w:numPr>
          <w:ilvl w:val="0"/>
          <w:numId w:val="1001"/>
        </w:numPr>
      </w:pPr>
      <w:r>
        <w:t xml:space="preserve">The damages worksheet, case law research memo, and signed MSA are still pending upload to the ShareFile production set.</w:t>
      </w:r>
    </w:p>
    <w:p>
      <w:pPr>
        <w:pStyle w:val="Compact"/>
        <w:numPr>
          <w:ilvl w:val="0"/>
          <w:numId w:val="1001"/>
        </w:numPr>
      </w:pPr>
      <w:r>
        <w:t xml:space="preserve">This template is designed for transmission as a settlement-track letter under Cal. Evid. Code § 1152 / FRE 408; mark the email header accordingly.</w:t>
      </w:r>
    </w:p>
    <w:bookmarkEnd w:id="16"/>
    <w:bookmarkStart w:id="17" w:name="attachments-for-the-stambuk-transmission"/>
    <w:p>
      <w:pPr>
        <w:pStyle w:val="Heading2"/>
      </w:pPr>
      <w:r>
        <w:t xml:space="preserve">Attachments (for the Stambuk transmission)</w:t>
      </w:r>
    </w:p>
    <w:p>
      <w:pPr>
        <w:pStyle w:val="FirstParagraph"/>
      </w:pPr>
      <w:r>
        <w:t xml:space="preserve">The same two reconciliation spreadsheets transmitted with this template —</w:t>
      </w:r>
      <w:r>
        <w:t xml:space="preserve"> </w:t>
      </w:r>
      <w:r>
        <w:rPr>
          <w:rStyle w:val="VerbatimChar"/>
        </w:rPr>
        <w:t xml:space="preserve">VTD_Actual_vs_Billed_Reconciliation.xlsx</w:t>
      </w:r>
      <w:r>
        <w:t xml:space="preserve"> </w:t>
      </w:r>
      <w:r>
        <w:t xml:space="preserve">and</w:t>
      </w:r>
      <w:r>
        <w:t xml:space="preserve"> </w:t>
      </w:r>
      <w:r>
        <w:rPr>
          <w:rStyle w:val="VerbatimChar"/>
        </w:rPr>
        <w:t xml:space="preserve">VTD_Missing_Entries_Detail.xlsx</w:t>
      </w:r>
      <w:r>
        <w:t xml:space="preserve"> </w:t>
      </w:r>
      <w:r>
        <w:t xml:space="preserve">— are appropriate for inclusion if Callahan elects to attach the underlying calculations to the letter. Recommended posture: include them so Stambuk has the supporting data; she will demand it otherwise.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2026-04-30T23:46:01Z</dcterms:created>
  <dcterms:modified xsi:type="dcterms:W3CDTF">2026-04-30T23:46:01Z</dcterms:modified>
</cp:coreProperties>
</file>

<file path=docProps/custom.xml><?xml version="1.0" encoding="utf-8"?>
<Properties xmlns="http://schemas.openxmlformats.org/officeDocument/2006/custom-properties" xmlns:vt="http://schemas.openxmlformats.org/officeDocument/2006/docPropsVTypes"/>
</file>