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Master Service Agreement</w:t>
      </w:r>
    </w:p>
    <w:p>
      <w:pPr>
        <w:spacing w:after="100"/>
        <w:jc w:val="center"/>
      </w:pPr>
      <w:r>
        <w:rPr>
          <w:rFonts w:ascii="Open Sans" w:cs="Open Sans" w:eastAsia="Open Sans" w:hAnsi="Open Sans"/>
          <w:b/>
          <w:bCs/>
          <w:color w:val="006DB6"/>
          <w:sz w:val="28"/>
          <w:szCs w:val="28"/>
        </w:rPr>
        <w:t xml:space="preserve">Oaktree Law</w:t>
      </w:r>
    </w:p>
    <w:p>
      <w:pPr>
        <w:spacing w:after="400"/>
        <w:jc w:val="center"/>
      </w:pPr>
      <w:r>
        <w:rPr>
          <w:rFonts w:ascii="Open Sans" w:cs="Open Sans" w:eastAsia="Open Sans" w:hAnsi="Open Sans"/>
          <w:color w:val="59595B"/>
          <w:sz w:val="24"/>
          <w:szCs w:val="24"/>
        </w:rPr>
        <w:t xml:space="preserve">March 23, 2026</w:t>
      </w:r>
    </w:p>
    <w:p>
      <w:pPr>
        <w:pBdr>
          <w:bottom w:val="single" w:color="F67D4B" w:sz="2"/>
        </w:pBdr>
        <w:spacing w:after="100" w:before="100"/>
      </w:pPr>
    </w:p>
    <w:p>
      <w:pPr>
        <w:spacing w:after="12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MASTER SERVICE AGREEMENT</w:t>
      </w:r>
    </w:p>
    <w:p>
      <w:r>
        <w:rPr>
          <w:rFonts w:ascii="Open Sans" w:cs="Open Sans" w:eastAsia="Open Sans" w:hAnsi="Open Sans"/>
          <w:b/>
          <w:bCs/>
          <w:color w:val="1A1A2E"/>
          <w:sz w:val="22"/>
          <w:szCs w:val="22"/>
        </w:rPr>
        <w:t xml:space="preserve">Agreement Number: </w:t>
      </w:r>
      <w:r>
        <w:rPr>
          <w:rFonts w:ascii="Open Sans" w:cs="Open Sans" w:eastAsia="Open Sans" w:hAnsi="Open Sans"/>
          <w:color w:val="59595B"/>
          <w:sz w:val="22"/>
          <w:szCs w:val="22"/>
        </w:rPr>
        <w:t xml:space="preserve">MSA-OKL-2026</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March 23, 2026</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Master Service Agreement ("Agreement") is entered into by and between: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 ("Technijian")</w:t>
      </w:r>
    </w:p>
    <w:p>
      <w:r>
        <w:rPr>
          <w:rFonts w:ascii="Open Sans" w:cs="Open Sans" w:eastAsia="Open Sans" w:hAnsi="Open Sans"/>
          <w:color w:val="59595B"/>
          <w:sz w:val="22"/>
          <w:szCs w:val="22"/>
        </w:rPr>
        <w:t xml:space="preserve">18 Technology Drive, Suite 141</w:t>
      </w:r>
    </w:p>
    <w:p>
      <w:r>
        <w:rPr>
          <w:rFonts w:ascii="Open Sans" w:cs="Open Sans" w:eastAsia="Open Sans" w:hAnsi="Open Sans"/>
          <w:color w:val="59595B"/>
          <w:sz w:val="22"/>
          <w:szCs w:val="22"/>
        </w:rPr>
        <w:t xml:space="preserve">Irvine, California 92618</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and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Oaktree Law ("Client")</w:t>
      </w:r>
    </w:p>
    <w:p>
      <w:r>
        <w:rPr>
          <w:rFonts w:ascii="Open Sans" w:cs="Open Sans" w:eastAsia="Open Sans" w:hAnsi="Open Sans"/>
          <w:color w:val="59595B"/>
          <w:sz w:val="22"/>
          <w:szCs w:val="22"/>
        </w:rPr>
        <w:t xml:space="preserve">[CLIENT ADDRESS]</w:t>
      </w:r>
    </w:p>
    <w:p>
      <w:r>
        <w:rPr>
          <w:rFonts w:ascii="Open Sans" w:cs="Open Sans" w:eastAsia="Open Sans" w:hAnsi="Open Sans"/>
          <w:color w:val="59595B"/>
          <w:sz w:val="22"/>
          <w:szCs w:val="22"/>
        </w:rPr>
        <w:t xml:space="preserve">[CITY, STATE ZIP]</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Primary Contact: </w:t>
      </w:r>
      <w:r>
        <w:rPr>
          <w:rFonts w:ascii="Open Sans" w:cs="Open Sans" w:eastAsia="Open Sans" w:hAnsi="Open Sans"/>
          <w:color w:val="59595B"/>
          <w:sz w:val="22"/>
          <w:szCs w:val="22"/>
        </w:rPr>
        <w:t xml:space="preserve">Ed Pits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(collectively, the "Parties")</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1 — SCOPE OF SERVICES</w:t>
      </w:r>
    </w:p>
    <w:p>
      <w:r>
        <w:rPr>
          <w:rFonts w:ascii="Open Sans" w:cs="Open Sans" w:eastAsia="Open Sans" w:hAnsi="Open Sans"/>
          <w:b/>
          <w:bCs/>
          <w:color w:val="1A1A2E"/>
          <w:sz w:val="22"/>
          <w:szCs w:val="22"/>
        </w:rPr>
        <w:t xml:space="preserve">1.01. Services. </w:t>
      </w:r>
      <w:r>
        <w:rPr>
          <w:rFonts w:ascii="Open Sans" w:cs="Open Sans" w:eastAsia="Open Sans" w:hAnsi="Open Sans"/>
          <w:color w:val="59595B"/>
          <w:sz w:val="22"/>
          <w:szCs w:val="22"/>
        </w:rPr>
        <w:t xml:space="preserve">Technijian shall provide the services described in the Schedules attached to this Agreement, which are incorporated herein by reference:</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Schedule A — Monthly Managed Services (Cloud Hosting, Security, Monitoring)</w:t>
      </w:r>
    </w:p>
    <w:p>
      <w:pPr>
        <w:ind w:left="360"/>
      </w:pPr>
      <w:r>
        <w:rPr>
          <w:rFonts w:ascii="Open Sans" w:cs="Open Sans" w:eastAsia="Open Sans" w:hAnsi="Open Sans"/>
          <w:color w:val="59595B"/>
          <w:sz w:val="22"/>
          <w:szCs w:val="22"/>
        </w:rPr>
        <w:t xml:space="preserve">Schedule B — Subscription and License Services</w:t>
      </w:r>
    </w:p>
    <w:p>
      <w:pPr>
        <w:ind w:left="360"/>
      </w:pPr>
      <w:r>
        <w:rPr>
          <w:rFonts w:ascii="Open Sans" w:cs="Open Sans" w:eastAsia="Open Sans" w:hAnsi="Open Sans"/>
          <w:color w:val="59595B"/>
          <w:sz w:val="22"/>
          <w:szCs w:val="22"/>
        </w:rPr>
        <w:t xml:space="preserve">Schedule C — Rate Card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Additional services may be provided through Statements of Work ("SOWs") executed under this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1.02. Standard of Care. </w:t>
      </w:r>
      <w:r>
        <w:rPr>
          <w:rFonts w:ascii="Open Sans" w:cs="Open Sans" w:eastAsia="Open Sans" w:hAnsi="Open Sans"/>
          <w:color w:val="59595B"/>
          <w:sz w:val="22"/>
          <w:szCs w:val="22"/>
        </w:rPr>
        <w:t xml:space="preserve">Technijian shall perform all services in a professional and workmanlike manner, consistent with industry standards for managed IT service providers.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1.03. Service Level Agreement. </w:t>
      </w:r>
      <w:r>
        <w:rPr>
          <w:rFonts w:ascii="Open Sans" w:cs="Open Sans" w:eastAsia="Open Sans" w:hAnsi="Open Sans"/>
          <w:color w:val="59595B"/>
          <w:sz w:val="22"/>
          <w:szCs w:val="22"/>
        </w:rPr>
        <w:t xml:space="preserve">The service levels applicable to the services are set forth in Schedule A. Technijian shall use commercially reasonable efforts to meet the service levels described therein.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1.04. Client Responsibilities. </w:t>
      </w:r>
      <w:r>
        <w:rPr>
          <w:rFonts w:ascii="Open Sans" w:cs="Open Sans" w:eastAsia="Open Sans" w:hAnsi="Open Sans"/>
          <w:color w:val="59595B"/>
          <w:sz w:val="22"/>
          <w:szCs w:val="22"/>
        </w:rPr>
        <w:t xml:space="preserve">Client shall:</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(a) Provide Technijian with reasonable access to Client's systems, facilities, and personnel as necessary for Technijian to perform the services;</w:t>
      </w:r>
    </w:p>
    <w:p>
      <w:pPr>
        <w:ind w:left="360"/>
      </w:pPr>
      <w:r>
        <w:rPr>
          <w:rFonts w:ascii="Open Sans" w:cs="Open Sans" w:eastAsia="Open Sans" w:hAnsi="Open Sans"/>
          <w:color w:val="59595B"/>
          <w:sz w:val="22"/>
          <w:szCs w:val="22"/>
        </w:rPr>
        <w:t xml:space="preserve">(b) Designate a primary point of contact for communications with Technijian;</w:t>
      </w:r>
    </w:p>
    <w:p>
      <w:pPr>
        <w:ind w:left="360"/>
      </w:pPr>
      <w:r>
        <w:rPr>
          <w:rFonts w:ascii="Open Sans" w:cs="Open Sans" w:eastAsia="Open Sans" w:hAnsi="Open Sans"/>
          <w:color w:val="59595B"/>
          <w:sz w:val="22"/>
          <w:szCs w:val="22"/>
        </w:rPr>
        <w:t xml:space="preserve">(c) Maintain current and accurate information regarding Client's systems and infrastructure;</w:t>
      </w:r>
    </w:p>
    <w:p>
      <w:pPr>
        <w:ind w:left="360"/>
      </w:pPr>
      <w:r>
        <w:rPr>
          <w:rFonts w:ascii="Open Sans" w:cs="Open Sans" w:eastAsia="Open Sans" w:hAnsi="Open Sans"/>
          <w:color w:val="59595B"/>
          <w:sz w:val="22"/>
          <w:szCs w:val="22"/>
        </w:rPr>
        <w:t xml:space="preserve">(d) Comply with all applicable laws and regulations in connection with its use of the services; and</w:t>
      </w:r>
    </w:p>
    <w:p>
      <w:pPr>
        <w:ind w:left="360"/>
      </w:pPr>
      <w:r>
        <w:rPr>
          <w:rFonts w:ascii="Open Sans" w:cs="Open Sans" w:eastAsia="Open Sans" w:hAnsi="Open Sans"/>
          <w:color w:val="59595B"/>
          <w:sz w:val="22"/>
          <w:szCs w:val="22"/>
        </w:rPr>
        <w:t xml:space="preserve">(e) Be solely responsible for the security and management of Client's account credentials and passwords.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1.05. Independent Contractor. </w:t>
      </w:r>
      <w:r>
        <w:rPr>
          <w:rFonts w:ascii="Open Sans" w:cs="Open Sans" w:eastAsia="Open Sans" w:hAnsi="Open Sans"/>
          <w:color w:val="59595B"/>
          <w:sz w:val="22"/>
          <w:szCs w:val="22"/>
        </w:rPr>
        <w:t xml:space="preserve">Technijian is an independent contractor. Nothing in this Agreement shall be construed to create a partnership, joint venture, agency, or employment relationship between the Parties.</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2 — TERM AND RENEWAL</w:t>
      </w:r>
    </w:p>
    <w:p>
      <w:r>
        <w:rPr>
          <w:rFonts w:ascii="Open Sans" w:cs="Open Sans" w:eastAsia="Open Sans" w:hAnsi="Open Sans"/>
          <w:b/>
          <w:bCs/>
          <w:color w:val="1A1A2E"/>
          <w:sz w:val="22"/>
          <w:szCs w:val="22"/>
        </w:rPr>
        <w:t xml:space="preserve">2.01. Initial Term. </w:t>
      </w:r>
      <w:r>
        <w:rPr>
          <w:rFonts w:ascii="Open Sans" w:cs="Open Sans" w:eastAsia="Open Sans" w:hAnsi="Open Sans"/>
          <w:color w:val="59595B"/>
          <w:sz w:val="22"/>
          <w:szCs w:val="22"/>
        </w:rPr>
        <w:t xml:space="preserve">This Agreement shall commence on the Effective Date and continue for a period of twelve (12) months (the "Initial Term").</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2.02. Renewal. </w:t>
      </w:r>
      <w:r>
        <w:rPr>
          <w:rFonts w:ascii="Open Sans" w:cs="Open Sans" w:eastAsia="Open Sans" w:hAnsi="Open Sans"/>
          <w:color w:val="59595B"/>
          <w:sz w:val="22"/>
          <w:szCs w:val="22"/>
        </w:rPr>
        <w:t xml:space="preserve">Upon expiration of the Initial Term, this Agreement shall automatically renew for successive twelve (12) month periods (each a "Renewal Term"), unless either Party provides written notice of non-renewal at least sixty (60) days prior to the expiration of the then-current term.</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2.03. Termination for Convenience. </w:t>
      </w:r>
      <w:r>
        <w:rPr>
          <w:rFonts w:ascii="Open Sans" w:cs="Open Sans" w:eastAsia="Open Sans" w:hAnsi="Open Sans"/>
          <w:color w:val="59595B"/>
          <w:sz w:val="22"/>
          <w:szCs w:val="22"/>
        </w:rPr>
        <w:t xml:space="preserve">Either Party may terminate this Agreement for any reason upon sixty (60) days written notice to the other Party.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2.04. Termination for Cause. </w:t>
      </w:r>
      <w:r>
        <w:rPr>
          <w:rFonts w:ascii="Open Sans" w:cs="Open Sans" w:eastAsia="Open Sans" w:hAnsi="Open Sans"/>
          <w:color w:val="59595B"/>
          <w:sz w:val="22"/>
          <w:szCs w:val="22"/>
        </w:rPr>
        <w:t xml:space="preserve">Either Party may terminate this Agreement immediately upon written notice if the other Party:</w:t>
      </w:r>
    </w:p>
    <w:p>
      <w:pPr>
        <w:ind w:left="360"/>
      </w:pPr>
      <w:r>
        <w:rPr>
          <w:rFonts w:ascii="Open Sans" w:cs="Open Sans" w:eastAsia="Open Sans" w:hAnsi="Open Sans"/>
          <w:color w:val="59595B"/>
          <w:sz w:val="22"/>
          <w:szCs w:val="22"/>
        </w:rPr>
        <w:t xml:space="preserve">(a) Commits a material breach of this Agreement and fails to cure such breach within thirty (30) days after receiving written notice of the breach; or</w:t>
      </w:r>
    </w:p>
    <w:p>
      <w:pPr>
        <w:ind w:left="360"/>
      </w:pPr>
      <w:r>
        <w:rPr>
          <w:rFonts w:ascii="Open Sans" w:cs="Open Sans" w:eastAsia="Open Sans" w:hAnsi="Open Sans"/>
          <w:color w:val="59595B"/>
          <w:sz w:val="22"/>
          <w:szCs w:val="22"/>
        </w:rPr>
        <w:t xml:space="preserve">(b) Becomes insolvent, files for bankruptcy, or has a receiver appointed for its assets.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2.05. Effect of Termination. </w:t>
      </w: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(a) Upon termination, Client shall pay all fees and charges for services rendered through the date of termination, including any remaining obligations for annual licenses and subscriptions procured on Client's behalf.</w:t>
      </w:r>
    </w:p>
    <w:p>
      <w:pPr>
        <w:ind w:left="360"/>
      </w:pPr>
      <w:r>
        <w:rPr>
          <w:rFonts w:ascii="Open Sans" w:cs="Open Sans" w:eastAsia="Open Sans" w:hAnsi="Open Sans"/>
          <w:color w:val="59595B"/>
          <w:sz w:val="22"/>
          <w:szCs w:val="22"/>
        </w:rPr>
        <w:t xml:space="preserve">(b) Technijian shall provide reasonable transition assistance for a period of up to thirty (30) days following termination, subject to payment of applicable fees.</w:t>
      </w:r>
    </w:p>
    <w:p>
      <w:pPr>
        <w:ind w:left="360"/>
      </w:pPr>
      <w:r>
        <w:rPr>
          <w:rFonts w:ascii="Open Sans" w:cs="Open Sans" w:eastAsia="Open Sans" w:hAnsi="Open Sans"/>
          <w:color w:val="59595B"/>
          <w:sz w:val="22"/>
          <w:szCs w:val="22"/>
        </w:rPr>
        <w:t xml:space="preserve">(c) Technijian shall return all Client Data in its possession within thirty (30) days of termination, in a commercially standard format, provided Client is not in breach of this Agreement.</w:t>
      </w:r>
    </w:p>
    <w:p>
      <w:pPr>
        <w:ind w:left="360"/>
      </w:pPr>
      <w:r>
        <w:rPr>
          <w:rFonts w:ascii="Open Sans" w:cs="Open Sans" w:eastAsia="Open Sans" w:hAnsi="Open Sans"/>
          <w:color w:val="59595B"/>
          <w:sz w:val="22"/>
          <w:szCs w:val="22"/>
        </w:rPr>
        <w:t xml:space="preserve">(d) The following sections shall survive termination: Section 4 (Confidentiality), Section 5 (Limitation of Liability), Section 6 (Indemnification), and Section 8 (Dispute Resolution).</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3 — PAYMENT</w:t>
      </w:r>
    </w:p>
    <w:p>
      <w:r>
        <w:rPr>
          <w:rFonts w:ascii="Open Sans" w:cs="Open Sans" w:eastAsia="Open Sans" w:hAnsi="Open Sans"/>
          <w:b/>
          <w:bCs/>
          <w:color w:val="1A1A2E"/>
          <w:sz w:val="22"/>
          <w:szCs w:val="22"/>
        </w:rPr>
        <w:t xml:space="preserve">3.01. Fees. </w:t>
      </w:r>
      <w:r>
        <w:rPr>
          <w:rFonts w:ascii="Open Sans" w:cs="Open Sans" w:eastAsia="Open Sans" w:hAnsi="Open Sans"/>
          <w:color w:val="59595B"/>
          <w:sz w:val="22"/>
          <w:szCs w:val="22"/>
        </w:rPr>
        <w:t xml:space="preserve">Client shall pay fees for the services as set forth in the applicable Schedule, SOW, or invoice. Fees are exclusive of applicable taxes.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3.02. Invoicing. </w:t>
      </w:r>
      <w:r>
        <w:rPr>
          <w:rFonts w:ascii="Open Sans" w:cs="Open Sans" w:eastAsia="Open Sans" w:hAnsi="Open Sans"/>
          <w:color w:val="59595B"/>
          <w:sz w:val="22"/>
          <w:szCs w:val="22"/>
        </w:rPr>
        <w:t xml:space="preserve">Technijian shall invoice Client monthly in advance for recurring services and upon delivery for one-time services, unless otherwise specified in the applicable Schedule or SOW.</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3.03. Payment Terms. </w:t>
      </w:r>
      <w:r>
        <w:rPr>
          <w:rFonts w:ascii="Open Sans" w:cs="Open Sans" w:eastAsia="Open Sans" w:hAnsi="Open Sans"/>
          <w:color w:val="59595B"/>
          <w:sz w:val="22"/>
          <w:szCs w:val="22"/>
        </w:rPr>
        <w:t xml:space="preserve">All invoices are due and payable within thirty (30) days of the invoice date, unless otherwise specified.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3.04. Late Payment. </w:t>
      </w:r>
      <w:r>
        <w:rPr>
          <w:rFonts w:ascii="Open Sans" w:cs="Open Sans" w:eastAsia="Open Sans" w:hAnsi="Open Sans"/>
          <w:color w:val="59595B"/>
          <w:sz w:val="22"/>
          <w:szCs w:val="22"/>
        </w:rPr>
        <w:t xml:space="preserve">Invoices not paid within terms shall accrue a late fee of 1.5% per month (or the maximum rate permitted by law, whichever is less) on the unpaid balance.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3.05. Disputed Invoices. </w:t>
      </w:r>
      <w:r>
        <w:rPr>
          <w:rFonts w:ascii="Open Sans" w:cs="Open Sans" w:eastAsia="Open Sans" w:hAnsi="Open Sans"/>
          <w:color w:val="59595B"/>
          <w:sz w:val="22"/>
          <w:szCs w:val="22"/>
        </w:rPr>
        <w:t xml:space="preserve">If Client disputes any portion of an invoice, Client shall notify Technijian in writing within fifteen (15) days of the invoice date, specifying the nature of the dispute. Client shall pay all undisputed amounts by the due date.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3.06. Suspension of Services. </w:t>
      </w:r>
      <w:r>
        <w:rPr>
          <w:rFonts w:ascii="Open Sans" w:cs="Open Sans" w:eastAsia="Open Sans" w:hAnsi="Open Sans"/>
          <w:color w:val="59595B"/>
          <w:sz w:val="22"/>
          <w:szCs w:val="22"/>
        </w:rPr>
        <w:t xml:space="preserve">If Client fails to pay any undisputed invoice within thirty (30) days of the due date, Technijian may, upon ten (10) days written notice, suspend services until payment is received.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3.07. Taxes. </w:t>
      </w:r>
      <w:r>
        <w:rPr>
          <w:rFonts w:ascii="Open Sans" w:cs="Open Sans" w:eastAsia="Open Sans" w:hAnsi="Open Sans"/>
          <w:color w:val="59595B"/>
          <w:sz w:val="22"/>
          <w:szCs w:val="22"/>
        </w:rPr>
        <w:t xml:space="preserve">Client shall be responsible for all applicable sales, use, and other taxes arising from the services, excluding taxes based on Technijian's income.</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4 — CONFIDENTIALITY</w:t>
      </w:r>
    </w:p>
    <w:p>
      <w:r>
        <w:rPr>
          <w:rFonts w:ascii="Open Sans" w:cs="Open Sans" w:eastAsia="Open Sans" w:hAnsi="Open Sans"/>
          <w:b/>
          <w:bCs/>
          <w:color w:val="1A1A2E"/>
          <w:sz w:val="22"/>
          <w:szCs w:val="22"/>
        </w:rPr>
        <w:t xml:space="preserve">4.01. Definition. </w:t>
      </w:r>
      <w:r>
        <w:rPr>
          <w:rFonts w:ascii="Open Sans" w:cs="Open Sans" w:eastAsia="Open Sans" w:hAnsi="Open Sans"/>
          <w:color w:val="59595B"/>
          <w:sz w:val="22"/>
          <w:szCs w:val="22"/>
        </w:rPr>
        <w:t xml:space="preserve">"Confidential Information" means any non-public information disclosed by either Party to the other in connection with this Agreement, including business, technical, and financial information.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4.02. Obligations. </w:t>
      </w:r>
      <w:r>
        <w:rPr>
          <w:rFonts w:ascii="Open Sans" w:cs="Open Sans" w:eastAsia="Open Sans" w:hAnsi="Open Sans"/>
          <w:color w:val="59595B"/>
          <w:sz w:val="22"/>
          <w:szCs w:val="22"/>
        </w:rPr>
        <w:t xml:space="preserve">Each Party shall:</w:t>
      </w:r>
    </w:p>
    <w:p>
      <w:pPr>
        <w:ind w:left="360"/>
      </w:pPr>
      <w:r>
        <w:rPr>
          <w:rFonts w:ascii="Open Sans" w:cs="Open Sans" w:eastAsia="Open Sans" w:hAnsi="Open Sans"/>
          <w:color w:val="59595B"/>
          <w:sz w:val="22"/>
          <w:szCs w:val="22"/>
        </w:rPr>
        <w:t xml:space="preserve">(a) Hold the other Party's Confidential Information in confidence using at least the same degree of care it uses for its own confidential information, but not less than reasonable care;</w:t>
      </w:r>
    </w:p>
    <w:p>
      <w:pPr>
        <w:ind w:left="360"/>
      </w:pPr>
      <w:r>
        <w:rPr>
          <w:rFonts w:ascii="Open Sans" w:cs="Open Sans" w:eastAsia="Open Sans" w:hAnsi="Open Sans"/>
          <w:color w:val="59595B"/>
          <w:sz w:val="22"/>
          <w:szCs w:val="22"/>
        </w:rPr>
        <w:t xml:space="preserve">(b) Not disclose Confidential Information to third parties without prior written consent, except to employees, agents, and subcontractors who have a need to know and are bound by equivalent obligations; and</w:t>
      </w:r>
    </w:p>
    <w:p>
      <w:pPr>
        <w:ind w:left="360"/>
      </w:pPr>
      <w:r>
        <w:rPr>
          <w:rFonts w:ascii="Open Sans" w:cs="Open Sans" w:eastAsia="Open Sans" w:hAnsi="Open Sans"/>
          <w:color w:val="59595B"/>
          <w:sz w:val="22"/>
          <w:szCs w:val="22"/>
        </w:rPr>
        <w:t xml:space="preserve">(c) Not use Confidential Information for any purpose other than performing obligations under this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4.03. Exclusions. </w:t>
      </w:r>
      <w:r>
        <w:rPr>
          <w:rFonts w:ascii="Open Sans" w:cs="Open Sans" w:eastAsia="Open Sans" w:hAnsi="Open Sans"/>
          <w:color w:val="59595B"/>
          <w:sz w:val="22"/>
          <w:szCs w:val="22"/>
        </w:rPr>
        <w:t xml:space="preserve">Confidential Information does not include information that is or becomes publicly available through no fault of the receiving Party, was known to the receiving Party prior to disclosure, is independently developed, or is received from a third party without restriction.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4.04. Compelled Disclosure. </w:t>
      </w:r>
      <w:r>
        <w:rPr>
          <w:rFonts w:ascii="Open Sans" w:cs="Open Sans" w:eastAsia="Open Sans" w:hAnsi="Open Sans"/>
          <w:color w:val="59595B"/>
          <w:sz w:val="22"/>
          <w:szCs w:val="22"/>
        </w:rPr>
        <w:t xml:space="preserve">If required by law or court order to disclose Confidential Information, the receiving Party shall provide prompt written notice to the disclosing Party and cooperate in seeking a protective order.</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4.05. Duration. </w:t>
      </w:r>
      <w:r>
        <w:rPr>
          <w:rFonts w:ascii="Open Sans" w:cs="Open Sans" w:eastAsia="Open Sans" w:hAnsi="Open Sans"/>
          <w:color w:val="59595B"/>
          <w:sz w:val="22"/>
          <w:szCs w:val="22"/>
        </w:rPr>
        <w:t xml:space="preserve">Confidentiality obligations shall survive termination for a period of three (3) years.</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5 — LIMITATION OF LIABILITY</w:t>
      </w:r>
    </w:p>
    <w:p>
      <w:r>
        <w:rPr>
          <w:rFonts w:ascii="Open Sans" w:cs="Open Sans" w:eastAsia="Open Sans" w:hAnsi="Open Sans"/>
          <w:color w:val="59595B"/>
          <w:sz w:val="20"/>
          <w:szCs w:val="20"/>
        </w:rPr>
        <w:t xml:space="preserve">5.01. EXCEPT FOR BREACHES OF SECTION 4 (CONFIDENTIALITY), WILLFUL MISCONDUCT, OR GROSS NEGLIGENCE, NEITHER PARTY'S TOTAL AGGREGATE LIABILITY UNDER THIS AGREEMENT SHALL EXCEED THE TOTAL FEES PAID OR PAYABLE BY CLIENT DURING THE TWELVE (12) MONTH PERIOD IMMEDIATELY PRECEDING THE EVENT GIVING RISE TO THE CLAIM.</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0"/>
          <w:szCs w:val="20"/>
        </w:rPr>
        <w:t xml:space="preserve">5.02. IN NO EVENT SHALL EITHER PARTY BE LIABLE FOR ANY INDIRECT, INCIDENTAL, SPECIAL, CONSEQUENTIAL, OR PUNITIVE DAMAGES, INCLUDING LOSS OF PROFITS, DATA, BUSINESS OPPORTUNITY, OR GOODWILL.</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5.03. Data Liability. </w:t>
      </w:r>
      <w:r>
        <w:rPr>
          <w:rFonts w:ascii="Open Sans" w:cs="Open Sans" w:eastAsia="Open Sans" w:hAnsi="Open Sans"/>
          <w:color w:val="59595B"/>
          <w:sz w:val="22"/>
          <w:szCs w:val="22"/>
        </w:rPr>
        <w:t xml:space="preserve">While Technijian shall use commercially reasonable efforts to protect Client Data, Client acknowledges that Client is solely responsible for maintaining backup copies of its data.</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6 — INDEMNIFICATION</w:t>
      </w:r>
    </w:p>
    <w:p>
      <w:r>
        <w:rPr>
          <w:rFonts w:ascii="Open Sans" w:cs="Open Sans" w:eastAsia="Open Sans" w:hAnsi="Open Sans"/>
          <w:b/>
          <w:bCs/>
          <w:color w:val="1A1A2E"/>
          <w:sz w:val="22"/>
          <w:szCs w:val="22"/>
        </w:rPr>
        <w:t xml:space="preserve">6.01. By Technijian. </w:t>
      </w:r>
      <w:r>
        <w:rPr>
          <w:rFonts w:ascii="Open Sans" w:cs="Open Sans" w:eastAsia="Open Sans" w:hAnsi="Open Sans"/>
          <w:color w:val="59595B"/>
          <w:sz w:val="22"/>
          <w:szCs w:val="22"/>
        </w:rPr>
        <w:t xml:space="preserve">Technijian shall indemnify, defend, and hold harmless Client from and against any third-party claims arising from Technijian's gross negligence or willful misconduct in performing the services.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6.02. By Client. </w:t>
      </w:r>
      <w:r>
        <w:rPr>
          <w:rFonts w:ascii="Open Sans" w:cs="Open Sans" w:eastAsia="Open Sans" w:hAnsi="Open Sans"/>
          <w:color w:val="59595B"/>
          <w:sz w:val="22"/>
          <w:szCs w:val="22"/>
        </w:rPr>
        <w:t xml:space="preserve">Client shall indemnify, defend, and hold harmless Technijian from and against any third-party claims arising from Client's use of the services in violation of applicable law, Client's breach of this Agreement, or any data, content, or materials provided by Client.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6.03. Procedure. </w:t>
      </w:r>
      <w:r>
        <w:rPr>
          <w:rFonts w:ascii="Open Sans" w:cs="Open Sans" w:eastAsia="Open Sans" w:hAnsi="Open Sans"/>
          <w:color w:val="59595B"/>
          <w:sz w:val="22"/>
          <w:szCs w:val="22"/>
        </w:rPr>
        <w:t xml:space="preserve">The indemnified Party shall provide prompt written notice of any claim, cooperate with the indemnifying Party in the defense, and not settle any claim without the indemnifying Party's prior written consent.</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7 — INTELLECTUAL PROPERTY</w:t>
      </w:r>
    </w:p>
    <w:p>
      <w:r>
        <w:rPr>
          <w:rFonts w:ascii="Open Sans" w:cs="Open Sans" w:eastAsia="Open Sans" w:hAnsi="Open Sans"/>
          <w:b/>
          <w:bCs/>
          <w:color w:val="1A1A2E"/>
          <w:sz w:val="22"/>
          <w:szCs w:val="22"/>
        </w:rPr>
        <w:t xml:space="preserve">7.01. Technijian IP. </w:t>
      </w:r>
      <w:r>
        <w:rPr>
          <w:rFonts w:ascii="Open Sans" w:cs="Open Sans" w:eastAsia="Open Sans" w:hAnsi="Open Sans"/>
          <w:color w:val="59595B"/>
          <w:sz w:val="22"/>
          <w:szCs w:val="22"/>
        </w:rPr>
        <w:t xml:space="preserve">Technijian retains all right, title, and interest in its proprietary tools, methodologies, software, and processes.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7.02. Client IP. </w:t>
      </w:r>
      <w:r>
        <w:rPr>
          <w:rFonts w:ascii="Open Sans" w:cs="Open Sans" w:eastAsia="Open Sans" w:hAnsi="Open Sans"/>
          <w:color w:val="59595B"/>
          <w:sz w:val="22"/>
          <w:szCs w:val="22"/>
        </w:rPr>
        <w:t xml:space="preserve">Client retains all right, title, and interest in its data, content, and pre-existing intellectual property.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7.03. Custom Development. </w:t>
      </w:r>
      <w:r>
        <w:rPr>
          <w:rFonts w:ascii="Open Sans" w:cs="Open Sans" w:eastAsia="Open Sans" w:hAnsi="Open Sans"/>
          <w:color w:val="59595B"/>
          <w:sz w:val="22"/>
          <w:szCs w:val="22"/>
        </w:rPr>
        <w:t xml:space="preserve">Ownership of any custom software or materials developed under a SOW shall be governed by the terms of that SOW.</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8 — DISPUTE RESOLUTION</w:t>
      </w:r>
    </w:p>
    <w:p>
      <w:r>
        <w:rPr>
          <w:rFonts w:ascii="Open Sans" w:cs="Open Sans" w:eastAsia="Open Sans" w:hAnsi="Open Sans"/>
          <w:b/>
          <w:bCs/>
          <w:color w:val="1A1A2E"/>
          <w:sz w:val="22"/>
          <w:szCs w:val="22"/>
        </w:rPr>
        <w:t xml:space="preserve">8.01. Escalation. </w:t>
      </w:r>
      <w:r>
        <w:rPr>
          <w:rFonts w:ascii="Open Sans" w:cs="Open Sans" w:eastAsia="Open Sans" w:hAnsi="Open Sans"/>
          <w:color w:val="59595B"/>
          <w:sz w:val="22"/>
          <w:szCs w:val="22"/>
        </w:rPr>
        <w:t xml:space="preserve">The Parties shall first attempt to resolve any dispute through good faith negotiations for a period of thirty (30)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8.02. Mediation. </w:t>
      </w:r>
      <w:r>
        <w:rPr>
          <w:rFonts w:ascii="Open Sans" w:cs="Open Sans" w:eastAsia="Open Sans" w:hAnsi="Open Sans"/>
          <w:color w:val="59595B"/>
          <w:sz w:val="22"/>
          <w:szCs w:val="22"/>
        </w:rPr>
        <w:t xml:space="preserve">If not resolved, the Parties shall submit the dispute to mediation in Orange County, California, for a period not to exceed sixty (60)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8.03. Arbitration. </w:t>
      </w:r>
      <w:r>
        <w:rPr>
          <w:rFonts w:ascii="Open Sans" w:cs="Open Sans" w:eastAsia="Open Sans" w:hAnsi="Open Sans"/>
          <w:color w:val="59595B"/>
          <w:sz w:val="22"/>
          <w:szCs w:val="22"/>
        </w:rPr>
        <w:t xml:space="preserve">If mediation fails, any remaining dispute shall be resolved by binding arbitration administered by the American Arbitration Association in Orange County, California.</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8.04. Injunctive Relief. </w:t>
      </w:r>
      <w:r>
        <w:rPr>
          <w:rFonts w:ascii="Open Sans" w:cs="Open Sans" w:eastAsia="Open Sans" w:hAnsi="Open Sans"/>
          <w:color w:val="59595B"/>
          <w:sz w:val="22"/>
          <w:szCs w:val="22"/>
        </w:rPr>
        <w:t xml:space="preserve">Nothing in this Section shall prevent either Party from seeking injunctive or other equitable relief to prevent irreparable harm.</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SECTION 9 — GENERAL PROVISIONS</w:t>
      </w:r>
    </w:p>
    <w:p>
      <w:r>
        <w:rPr>
          <w:rFonts w:ascii="Open Sans" w:cs="Open Sans" w:eastAsia="Open Sans" w:hAnsi="Open Sans"/>
          <w:b/>
          <w:bCs/>
          <w:color w:val="1A1A2E"/>
          <w:sz w:val="22"/>
          <w:szCs w:val="22"/>
        </w:rPr>
        <w:t xml:space="preserve">9.01. Entire Agreement. </w:t>
      </w:r>
      <w:r>
        <w:rPr>
          <w:rFonts w:ascii="Open Sans" w:cs="Open Sans" w:eastAsia="Open Sans" w:hAnsi="Open Sans"/>
          <w:color w:val="59595B"/>
          <w:sz w:val="22"/>
          <w:szCs w:val="22"/>
        </w:rPr>
        <w:t xml:space="preserve">This Agreement, together with its Schedules and any SOWs, constitutes the entire agreement between the Parties.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9.02. Amendment. </w:t>
      </w:r>
      <w:r>
        <w:rPr>
          <w:rFonts w:ascii="Open Sans" w:cs="Open Sans" w:eastAsia="Open Sans" w:hAnsi="Open Sans"/>
          <w:color w:val="59595B"/>
          <w:sz w:val="22"/>
          <w:szCs w:val="22"/>
        </w:rPr>
        <w:t xml:space="preserve">This Agreement may only be amended by a written instrument signed by both Parties.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9.03. Severability. </w:t>
      </w:r>
      <w:r>
        <w:rPr>
          <w:rFonts w:ascii="Open Sans" w:cs="Open Sans" w:eastAsia="Open Sans" w:hAnsi="Open Sans"/>
          <w:color w:val="59595B"/>
          <w:sz w:val="22"/>
          <w:szCs w:val="22"/>
        </w:rPr>
        <w:t xml:space="preserve">If any provision is found invalid or unenforceable, the remaining provisions shall continue in full force.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9.04. Waiver. </w:t>
      </w:r>
      <w:r>
        <w:rPr>
          <w:rFonts w:ascii="Open Sans" w:cs="Open Sans" w:eastAsia="Open Sans" w:hAnsi="Open Sans"/>
          <w:color w:val="59595B"/>
          <w:sz w:val="22"/>
          <w:szCs w:val="22"/>
        </w:rPr>
        <w:t xml:space="preserve">No waiver of any provision shall be effective unless in writing and signed by the waiving Party.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9.05. Assignment. </w:t>
      </w:r>
      <w:r>
        <w:rPr>
          <w:rFonts w:ascii="Open Sans" w:cs="Open Sans" w:eastAsia="Open Sans" w:hAnsi="Open Sans"/>
          <w:color w:val="59595B"/>
          <w:sz w:val="22"/>
          <w:szCs w:val="22"/>
        </w:rPr>
        <w:t xml:space="preserve">Neither Party may assign this Agreement without prior written consent, except in connection with a merger, acquisition, or sale of substantially all assets.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9.06. Force Majeure. </w:t>
      </w:r>
      <w:r>
        <w:rPr>
          <w:rFonts w:ascii="Open Sans" w:cs="Open Sans" w:eastAsia="Open Sans" w:hAnsi="Open Sans"/>
          <w:color w:val="59595B"/>
          <w:sz w:val="22"/>
          <w:szCs w:val="22"/>
        </w:rPr>
        <w:t xml:space="preserve">Neither Party shall be liable for delays or failures caused by events beyond its reasonable control.</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9.07. Notices. </w:t>
      </w:r>
      <w:r>
        <w:rPr>
          <w:rFonts w:ascii="Open Sans" w:cs="Open Sans" w:eastAsia="Open Sans" w:hAnsi="Open Sans"/>
          <w:color w:val="59595B"/>
          <w:sz w:val="22"/>
          <w:szCs w:val="22"/>
        </w:rPr>
        <w:t xml:space="preserve">All notices shall be in writing and delivered by email with confirmation, certified mail, or nationally recognized overnight courier.</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9.08. Governing Law. </w:t>
      </w:r>
      <w:r>
        <w:rPr>
          <w:rFonts w:ascii="Open Sans" w:cs="Open Sans" w:eastAsia="Open Sans" w:hAnsi="Open Sans"/>
          <w:color w:val="59595B"/>
          <w:sz w:val="22"/>
          <w:szCs w:val="22"/>
        </w:rPr>
        <w:t xml:space="preserve">This Agreement shall be governed by the laws of the State of California.</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9.09. Non-Solicitation. </w:t>
      </w:r>
      <w:r>
        <w:rPr>
          <w:rFonts w:ascii="Open Sans" w:cs="Open Sans" w:eastAsia="Open Sans" w:hAnsi="Open Sans"/>
          <w:color w:val="59595B"/>
          <w:sz w:val="22"/>
          <w:szCs w:val="22"/>
        </w:rPr>
        <w:t xml:space="preserve">During the term and for one (1) year following termination, neither Party shall directly solicit for employment any employee of the other Party involved in this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9.10. Counterparts. </w:t>
      </w:r>
      <w:r>
        <w:rPr>
          <w:rFonts w:ascii="Open Sans" w:cs="Open Sans" w:eastAsia="Open Sans" w:hAnsi="Open Sans"/>
          <w:color w:val="59595B"/>
          <w:sz w:val="22"/>
          <w:szCs w:val="22"/>
        </w:rPr>
        <w:t xml:space="preserve">This Agreement may be executed in counterparts, each of which shall be deemed an original.</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OAKTREE LAW</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Ed Pits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pBdr>
          <w:bottom w:val="single" w:color="006DB6" w:sz="3"/>
        </w:pBdr>
        <w:spacing w:after="200" w:before="200"/>
      </w:pPr>
    </w:p>
    <w:p>
      <w:r>
        <w:rPr>
          <w:rFonts w:ascii="Open Sans" w:cs="Open Sans" w:eastAsia="Open Sans" w:hAnsi="Open Sans"/>
          <w:b/>
          <w:bCs/>
          <w:color w:val="1A1A2E"/>
          <w:sz w:val="22"/>
          <w:szCs w:val="22"/>
        </w:rPr>
        <w:t xml:space="preserve">Schedules:</w:t>
      </w:r>
    </w:p>
    <w:p>
      <w:pPr>
        <w:ind w:left="360"/>
      </w:pPr>
      <w:r>
        <w:rPr>
          <w:rFonts w:ascii="Open Sans" w:cs="Open Sans" w:eastAsia="Open Sans" w:hAnsi="Open Sans"/>
          <w:color w:val="59595B"/>
          <w:sz w:val="22"/>
          <w:szCs w:val="22"/>
        </w:rPr>
        <w:t xml:space="preserve">Schedule A — Monthly Managed Services</w:t>
      </w:r>
    </w:p>
    <w:p>
      <w:pPr>
        <w:ind w:left="360"/>
      </w:pPr>
      <w:r>
        <w:rPr>
          <w:rFonts w:ascii="Open Sans" w:cs="Open Sans" w:eastAsia="Open Sans" w:hAnsi="Open Sans"/>
          <w:color w:val="59595B"/>
          <w:sz w:val="22"/>
          <w:szCs w:val="22"/>
        </w:rPr>
        <w:t xml:space="preserve">Schedule B — Subscription and License Services</w:t>
      </w:r>
    </w:p>
    <w:p>
      <w:pPr>
        <w:ind w:left="360"/>
      </w:pPr>
      <w:r>
        <w:rPr>
          <w:rFonts w:ascii="Open Sans" w:cs="Open Sans" w:eastAsia="Open Sans" w:hAnsi="Open Sans"/>
          <w:color w:val="59595B"/>
          <w:sz w:val="22"/>
          <w:szCs w:val="22"/>
        </w:rPr>
        <w:t xml:space="preserve">Schedule C — Rate Card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2026-03-24T00:50:01.280Z</dcterms:created>
  <dcterms:modified xsi:type="dcterms:W3CDTF">2026-03-24T00:50:01.282Z</dcterms:modified>
</cp:coreProperties>
</file>

<file path=docProps/custom.xml><?xml version="1.0" encoding="utf-8"?>
<Properties xmlns="http://schemas.openxmlformats.org/officeDocument/2006/custom-properties" xmlns:vt="http://schemas.openxmlformats.org/officeDocument/2006/docPropsVTypes"/>
</file>