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Executive Summary</w:t>
      </w:r>
    </w:p>
    <w:p>
      <w:pPr>
        <w:jc w:val="center"/>
      </w:pPr>
      <w:r>
        <w:rPr>
          <w:rFonts w:ascii="Open Sans" w:hAnsi="Open Sans"/>
          <w:b w:val="0"/>
          <w:i w:val="0"/>
          <w:color w:val="59595B"/>
          <w:sz w:val="26"/>
        </w:rPr>
        <w:t>Renewal Agreement — Cost Reduction &amp; Unpaid Balance Review</w:t>
      </w:r>
    </w:p>
    <w:p>
      <w:pPr>
        <w:jc w:val="center"/>
      </w:pPr>
      <w:r>
        <w:rPr>
          <w:rFonts w:ascii="Open Sans" w:hAnsi="Open Sans"/>
          <w:b w:val="0"/>
          <w:i w:val="0"/>
          <w:color w:val="59595B"/>
          <w:sz w:val="24"/>
        </w:rPr>
        <w:t xml:space="preserve">Prepared for </w:t>
      </w:r>
      <w:r>
        <w:rPr>
          <w:rFonts w:ascii="Open Sans" w:hAnsi="Open Sans"/>
          <w:b/>
          <w:i w:val="0"/>
          <w:color w:val="006DB6"/>
          <w:sz w:val="24"/>
        </w:rPr>
        <w:t>Aventine at Aliso Viejo Apartments</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Overview</w:t>
            </w:r>
          </w:p>
        </w:tc>
      </w:tr>
    </w:tbl>
    <w:p>
      <w:pPr>
        <w:spacing w:after="120"/>
      </w:pPr>
      <w:r>
        <w:rPr>
          <w:rFonts w:ascii="Open Sans" w:hAnsi="Open Sans"/>
          <w:b w:val="0"/>
          <w:i w:val="0"/>
          <w:color w:val="59595B"/>
          <w:sz w:val="20"/>
        </w:rPr>
        <w:t>Technijian is pleased to present this renewal of managed IT services for Aventine at Aliso Viejo Apartments (“AAVA”), effective May 1, 2026. This Executive Summary explains the key changes in the renewal, the immediate monthly savings being delivered, and an important update regarding the accumulated unpaid support hours balance carried forward from the prior agreement.</w:t>
      </w:r>
    </w:p>
    <w:p>
      <w:pPr>
        <w:spacing w:after="120"/>
      </w:pPr>
      <w:r>
        <w:rPr>
          <w:rFonts w:ascii="Open Sans" w:hAnsi="Open Sans"/>
          <w:b w:val="0"/>
          <w:i w:val="0"/>
          <w:color w:val="59595B"/>
          <w:sz w:val="20"/>
        </w:rPr>
        <w:t>The renewal reduces AAVA’s monthly recurring cost by $206.25 — a 38% reduction versus the April 1, 2026 invoice — while maintaining the same endpoint security coverage across all eight (8) desktops.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Monthly Cost Comparison</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Line Item</w:t>
            </w:r>
          </w:p>
        </w:tc>
        <w:tc>
          <w:tcPr>
            <w:tcW w:type="dxa" w:w="2340"/>
            <w:shd w:fill="006DB6" w:val="clear"/>
          </w:tcPr>
          <w:p>
            <w:r/>
            <w:r>
              <w:rPr>
                <w:rFonts w:ascii="Open Sans" w:hAnsi="Open Sans"/>
                <w:b/>
                <w:i w:val="0"/>
                <w:color w:val="FFFFFF"/>
                <w:sz w:val="18"/>
              </w:rPr>
              <w:t>Prior (4/1 Invoice)</w:t>
            </w:r>
          </w:p>
        </w:tc>
        <w:tc>
          <w:tcPr>
            <w:tcW w:type="dxa" w:w="2340"/>
            <w:shd w:fill="006DB6" w:val="clear"/>
          </w:tcPr>
          <w:p>
            <w:r/>
            <w:r>
              <w:rPr>
                <w:rFonts w:ascii="Open Sans" w:hAnsi="Open Sans"/>
                <w:b/>
                <w:i w:val="0"/>
                <w:color w:val="FFFFFF"/>
                <w:sz w:val="18"/>
              </w:rPr>
              <w:t>New (5/1 MSA)</w:t>
            </w:r>
          </w:p>
        </w:tc>
        <w:tc>
          <w:tcPr>
            <w:tcW w:type="dxa" w:w="2340"/>
            <w:shd w:fill="006DB6" w:val="clear"/>
          </w:tcPr>
          <w:p>
            <w:r/>
            <w:r>
              <w:rPr>
                <w:rFonts w:ascii="Open Sans" w:hAnsi="Open Sans"/>
                <w:b/>
                <w:i w:val="0"/>
                <w:color w:val="FFFFFF"/>
                <w:sz w:val="18"/>
              </w:rPr>
              <w:t>Change</w:t>
            </w:r>
          </w:p>
        </w:tc>
      </w:tr>
      <w:tr>
        <w:tc>
          <w:tcPr>
            <w:tcW w:type="dxa" w:w="2340"/>
          </w:tcPr>
          <w:p>
            <w:r/>
            <w:r>
              <w:rPr>
                <w:rFonts w:ascii="Open Sans" w:hAnsi="Open Sans"/>
                <w:b w:val="0"/>
                <w:i w:val="0"/>
                <w:color w:val="59595B"/>
                <w:sz w:val="18"/>
              </w:rPr>
              <w:t>Endpoint Security (8 desktops)</w:t>
            </w:r>
          </w:p>
        </w:tc>
        <w:tc>
          <w:tcPr>
            <w:tcW w:type="dxa" w:w="2340"/>
          </w:tcPr>
          <w:p>
            <w:r/>
            <w:r>
              <w:rPr>
                <w:rFonts w:ascii="Open Sans" w:hAnsi="Open Sans"/>
                <w:b w:val="0"/>
                <w:i w:val="0"/>
                <w:color w:val="59595B"/>
                <w:sz w:val="18"/>
              </w:rPr>
              <w:t>$212.00</w:t>
            </w:r>
          </w:p>
        </w:tc>
        <w:tc>
          <w:tcPr>
            <w:tcW w:type="dxa" w:w="2340"/>
          </w:tcPr>
          <w:p>
            <w:r/>
            <w:r>
              <w:rPr>
                <w:rFonts w:ascii="Open Sans" w:hAnsi="Open Sans"/>
                <w:b w:val="0"/>
                <w:i w:val="0"/>
                <w:color w:val="59595B"/>
                <w:sz w:val="18"/>
              </w:rPr>
              <w:t>$212.00</w:t>
            </w:r>
          </w:p>
        </w:tc>
        <w:tc>
          <w:tcPr>
            <w:tcW w:type="dxa" w:w="2340"/>
          </w:tcPr>
          <w:p>
            <w:r/>
            <w:r>
              <w:rPr>
                <w:rFonts w:ascii="Open Sans" w:hAnsi="Open Sans"/>
                <w:b w:val="0"/>
                <w:i w:val="0"/>
                <w:color w:val="59595B"/>
                <w:sz w:val="18"/>
              </w:rPr>
              <w:t>No change</w:t>
            </w:r>
          </w:p>
        </w:tc>
      </w:tr>
      <w:tr>
        <w:tc>
          <w:tcPr>
            <w:tcW w:type="dxa" w:w="2340"/>
          </w:tcPr>
          <w:p>
            <w:r/>
            <w:r>
              <w:rPr>
                <w:rFonts w:ascii="Open Sans" w:hAnsi="Open Sans"/>
                <w:b w:val="0"/>
                <w:i w:val="0"/>
                <w:color w:val="59595B"/>
                <w:sz w:val="18"/>
              </w:rPr>
              <w:t>Site Assessment</w:t>
            </w:r>
          </w:p>
        </w:tc>
        <w:tc>
          <w:tcPr>
            <w:tcW w:type="dxa" w:w="2340"/>
          </w:tcPr>
          <w:p>
            <w:r/>
            <w:r>
              <w:rPr>
                <w:rFonts w:ascii="Open Sans" w:hAnsi="Open Sans"/>
                <w:b w:val="0"/>
                <w:i w:val="0"/>
                <w:color w:val="59595B"/>
                <w:sz w:val="18"/>
              </w:rPr>
              <w:t>$50.00</w:t>
            </w:r>
          </w:p>
        </w:tc>
        <w:tc>
          <w:tcPr>
            <w:tcW w:type="dxa" w:w="2340"/>
          </w:tcPr>
          <w:p>
            <w:r/>
            <w:r>
              <w:rPr>
                <w:rFonts w:ascii="Open Sans" w:hAnsi="Open Sans"/>
                <w:b w:val="0"/>
                <w:i w:val="0"/>
                <w:color w:val="59595B"/>
                <w:sz w:val="18"/>
              </w:rPr>
              <w:t>Removed</w:t>
            </w:r>
          </w:p>
        </w:tc>
        <w:tc>
          <w:tcPr>
            <w:tcW w:type="dxa" w:w="2340"/>
          </w:tcPr>
          <w:p>
            <w:r/>
            <w:r>
              <w:rPr>
                <w:rFonts w:ascii="Open Sans" w:hAnsi="Open Sans"/>
                <w:b w:val="0"/>
                <w:i w:val="0"/>
                <w:color w:val="59595B"/>
                <w:sz w:val="18"/>
              </w:rPr>
              <w:t>− $50.00</w:t>
            </w:r>
          </w:p>
        </w:tc>
      </w:tr>
      <w:tr>
        <w:tc>
          <w:tcPr>
            <w:tcW w:type="dxa" w:w="2340"/>
          </w:tcPr>
          <w:p>
            <w:r/>
            <w:r>
              <w:rPr>
                <w:rFonts w:ascii="Open Sans" w:hAnsi="Open Sans"/>
                <w:b w:val="0"/>
                <w:i w:val="0"/>
                <w:color w:val="59595B"/>
                <w:sz w:val="18"/>
              </w:rPr>
              <w:t>USA Tech Support — Contracted (1.25 hrs)</w:t>
            </w:r>
          </w:p>
        </w:tc>
        <w:tc>
          <w:tcPr>
            <w:tcW w:type="dxa" w:w="2340"/>
          </w:tcPr>
          <w:p>
            <w:r/>
            <w:r>
              <w:rPr>
                <w:rFonts w:ascii="Open Sans" w:hAnsi="Open Sans"/>
                <w:b w:val="0"/>
                <w:i w:val="0"/>
                <w:color w:val="59595B"/>
                <w:sz w:val="18"/>
              </w:rPr>
              <w:t>$156.25</w:t>
            </w:r>
          </w:p>
        </w:tc>
        <w:tc>
          <w:tcPr>
            <w:tcW w:type="dxa" w:w="2340"/>
          </w:tcPr>
          <w:p>
            <w:r/>
            <w:r>
              <w:rPr>
                <w:rFonts w:ascii="Open Sans" w:hAnsi="Open Sans"/>
                <w:b w:val="0"/>
                <w:i w:val="0"/>
                <w:color w:val="59595B"/>
                <w:sz w:val="18"/>
              </w:rPr>
              <w:t>Ad-hoc hourly only</w:t>
            </w:r>
          </w:p>
        </w:tc>
        <w:tc>
          <w:tcPr>
            <w:tcW w:type="dxa" w:w="2340"/>
          </w:tcPr>
          <w:p>
            <w:r/>
            <w:r>
              <w:rPr>
                <w:rFonts w:ascii="Open Sans" w:hAnsi="Open Sans"/>
                <w:b w:val="0"/>
                <w:i w:val="0"/>
                <w:color w:val="59595B"/>
                <w:sz w:val="18"/>
              </w:rPr>
              <w:t>− $156.25</w:t>
            </w:r>
          </w:p>
        </w:tc>
      </w:tr>
      <w:tr>
        <w:tc>
          <w:tcPr>
            <w:tcW w:type="dxa" w:w="2340"/>
          </w:tcPr>
          <w:p>
            <w:r/>
            <w:r>
              <w:rPr>
                <w:rFonts w:ascii="Open Sans" w:hAnsi="Open Sans"/>
                <w:b w:val="0"/>
                <w:i w:val="0"/>
                <w:color w:val="59595B"/>
                <w:sz w:val="18"/>
              </w:rPr>
              <w:t>India Tech — Normal (4.55 hrs @ $15)</w:t>
            </w:r>
          </w:p>
        </w:tc>
        <w:tc>
          <w:tcPr>
            <w:tcW w:type="dxa" w:w="2340"/>
          </w:tcPr>
          <w:p>
            <w:r/>
            <w:r>
              <w:rPr>
                <w:rFonts w:ascii="Open Sans" w:hAnsi="Open Sans"/>
                <w:b w:val="0"/>
                <w:i w:val="0"/>
                <w:color w:val="59595B"/>
                <w:sz w:val="18"/>
              </w:rPr>
              <w:t>$68.25</w:t>
            </w:r>
          </w:p>
        </w:tc>
        <w:tc>
          <w:tcPr>
            <w:tcW w:type="dxa" w:w="2340"/>
          </w:tcPr>
          <w:p>
            <w:r/>
            <w:r>
              <w:rPr>
                <w:rFonts w:ascii="Open Sans" w:hAnsi="Open Sans"/>
                <w:b w:val="0"/>
                <w:i w:val="0"/>
                <w:color w:val="59595B"/>
                <w:sz w:val="18"/>
              </w:rPr>
              <w:t>$68.25</w:t>
            </w:r>
          </w:p>
        </w:tc>
        <w:tc>
          <w:tcPr>
            <w:tcW w:type="dxa" w:w="2340"/>
          </w:tcPr>
          <w:p>
            <w:r/>
            <w:r>
              <w:rPr>
                <w:rFonts w:ascii="Open Sans" w:hAnsi="Open Sans"/>
                <w:b w:val="0"/>
                <w:i w:val="0"/>
                <w:color w:val="59595B"/>
                <w:sz w:val="18"/>
              </w:rPr>
              <w:t>No change</w:t>
            </w:r>
          </w:p>
        </w:tc>
      </w:tr>
      <w:tr>
        <w:tc>
          <w:tcPr>
            <w:tcW w:type="dxa" w:w="2340"/>
          </w:tcPr>
          <w:p>
            <w:r/>
            <w:r>
              <w:rPr>
                <w:rFonts w:ascii="Open Sans" w:hAnsi="Open Sans"/>
                <w:b w:val="0"/>
                <w:i w:val="0"/>
                <w:color w:val="59595B"/>
                <w:sz w:val="18"/>
              </w:rPr>
              <w:t>India Tech — After-Hours (1.77 hrs @ $30)</w:t>
            </w:r>
          </w:p>
        </w:tc>
        <w:tc>
          <w:tcPr>
            <w:tcW w:type="dxa" w:w="2340"/>
          </w:tcPr>
          <w:p>
            <w:r/>
            <w:r>
              <w:rPr>
                <w:rFonts w:ascii="Open Sans" w:hAnsi="Open Sans"/>
                <w:b w:val="0"/>
                <w:i w:val="0"/>
                <w:color w:val="59595B"/>
                <w:sz w:val="18"/>
              </w:rPr>
              <w:t>$53.10</w:t>
            </w:r>
          </w:p>
        </w:tc>
        <w:tc>
          <w:tcPr>
            <w:tcW w:type="dxa" w:w="2340"/>
          </w:tcPr>
          <w:p>
            <w:r/>
            <w:r>
              <w:rPr>
                <w:rFonts w:ascii="Open Sans" w:hAnsi="Open Sans"/>
                <w:b w:val="0"/>
                <w:i w:val="0"/>
                <w:color w:val="59595B"/>
                <w:sz w:val="18"/>
              </w:rPr>
              <w:t>$53.10</w:t>
            </w:r>
          </w:p>
        </w:tc>
        <w:tc>
          <w:tcPr>
            <w:tcW w:type="dxa" w:w="2340"/>
          </w:tcPr>
          <w:p>
            <w:r/>
            <w:r>
              <w:rPr>
                <w:rFonts w:ascii="Open Sans" w:hAnsi="Open Sans"/>
                <w:b w:val="0"/>
                <w:i w:val="0"/>
                <w:color w:val="59595B"/>
                <w:sz w:val="18"/>
              </w:rPr>
              <w:t>No change</w:t>
            </w:r>
          </w:p>
        </w:tc>
      </w:tr>
      <w:tr>
        <w:tc>
          <w:tcPr>
            <w:tcW w:type="dxa" w:w="2340"/>
            <w:shd w:fill="F8F9FA" w:val="clear"/>
          </w:tcPr>
          <w:p>
            <w:r/>
            <w:r>
              <w:rPr>
                <w:rFonts w:ascii="Open Sans" w:hAnsi="Open Sans"/>
                <w:b/>
                <w:i w:val="0"/>
                <w:color w:val="1A1A2E"/>
                <w:sz w:val="18"/>
              </w:rPr>
              <w:t>TOTAL MONTHLY</w:t>
            </w:r>
          </w:p>
        </w:tc>
        <w:tc>
          <w:tcPr>
            <w:tcW w:type="dxa" w:w="2340"/>
            <w:shd w:fill="F8F9FA" w:val="clear"/>
          </w:tcPr>
          <w:p>
            <w:r/>
            <w:r>
              <w:rPr>
                <w:rFonts w:ascii="Open Sans" w:hAnsi="Open Sans"/>
                <w:b/>
                <w:i w:val="0"/>
                <w:color w:val="1A1A2E"/>
                <w:sz w:val="18"/>
              </w:rPr>
              <w:t>$539.60</w:t>
            </w:r>
          </w:p>
        </w:tc>
        <w:tc>
          <w:tcPr>
            <w:tcW w:type="dxa" w:w="2340"/>
            <w:shd w:fill="F8F9FA" w:val="clear"/>
          </w:tcPr>
          <w:p>
            <w:r/>
            <w:r>
              <w:rPr>
                <w:rFonts w:ascii="Open Sans" w:hAnsi="Open Sans"/>
                <w:b/>
                <w:i w:val="0"/>
                <w:color w:val="1A1A2E"/>
                <w:sz w:val="18"/>
              </w:rPr>
              <w:t>$333.35</w:t>
            </w:r>
          </w:p>
        </w:tc>
        <w:tc>
          <w:tcPr>
            <w:tcW w:type="dxa" w:w="2340"/>
            <w:shd w:fill="F8F9FA" w:val="clear"/>
          </w:tcPr>
          <w:p>
            <w:r/>
            <w:r>
              <w:rPr>
                <w:rFonts w:ascii="Open Sans" w:hAnsi="Open Sans"/>
                <w:b/>
                <w:i w:val="0"/>
                <w:color w:val="1A1A2E"/>
                <w:sz w:val="18"/>
              </w:rPr>
              <w:t>− $206.25</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What Changed — And Why</w:t>
            </w:r>
          </w:p>
        </w:tc>
      </w:tr>
    </w:tbl>
    <w:p>
      <w:pPr>
        <w:spacing w:after="80"/>
      </w:pPr>
    </w:p>
    <w:p>
      <w:pPr>
        <w:spacing w:after="60"/>
      </w:pPr>
      <w:r>
        <w:rPr>
          <w:rFonts w:ascii="Open Sans" w:hAnsi="Open Sans"/>
          <w:b/>
          <w:i w:val="0"/>
          <w:color w:val="1A1A2E"/>
          <w:sz w:val="20"/>
        </w:rPr>
        <w:t>1. Site Assessment removed (− $50/mo).</w:t>
      </w:r>
      <w:r>
        <w:rPr>
          <w:rFonts w:ascii="Open Sans" w:hAnsi="Open Sans"/>
          <w:b w:val="0"/>
          <w:i w:val="0"/>
          <w:color w:val="59595B"/>
          <w:sz w:val="20"/>
        </w:rPr>
      </w:r>
    </w:p>
    <w:p>
      <w:pPr>
        <w:spacing w:after="120"/>
      </w:pPr>
      <w:r>
        <w:rPr>
          <w:rFonts w:ascii="Open Sans" w:hAnsi="Open Sans"/>
          <w:b w:val="0"/>
          <w:i w:val="0"/>
          <w:color w:val="59595B"/>
          <w:sz w:val="20"/>
        </w:rPr>
        <w:t>The monthly Site Assessment charge has been eliminated. Technijian will continue to monitor network health through the included endpoint security stack (CrowdStrike, Huntress, My Secure Internet, Patch Management), with no reduction in day-to-day visibility or protection.</w:t>
      </w:r>
    </w:p>
    <w:p>
      <w:pPr>
        <w:spacing w:after="80"/>
      </w:pPr>
    </w:p>
    <w:p>
      <w:pPr>
        <w:spacing w:after="60"/>
      </w:pPr>
      <w:r>
        <w:rPr>
          <w:rFonts w:ascii="Open Sans" w:hAnsi="Open Sans"/>
          <w:b/>
          <w:i w:val="0"/>
          <w:color w:val="1A1A2E"/>
          <w:sz w:val="20"/>
        </w:rPr>
        <w:t>2. USA Tech Support moved to ad-hoc hourly (− $156.25/mo).</w:t>
      </w:r>
      <w:r>
        <w:rPr>
          <w:rFonts w:ascii="Open Sans" w:hAnsi="Open Sans"/>
          <w:b w:val="0"/>
          <w:i w:val="0"/>
          <w:color w:val="59595B"/>
          <w:sz w:val="20"/>
        </w:rPr>
      </w:r>
    </w:p>
    <w:p>
      <w:pPr>
        <w:spacing w:after="120"/>
      </w:pPr>
      <w:r>
        <w:rPr>
          <w:rFonts w:ascii="Open Sans" w:hAnsi="Open Sans"/>
          <w:b w:val="0"/>
          <w:i w:val="0"/>
          <w:color w:val="59595B"/>
          <w:sz w:val="20"/>
        </w:rPr>
        <w:t>USA-based technician hours are no longer included in the monthly contracted amount. Based on recent usage, AAVA consumed zero (0) USA Tech hours in the most recent reporting period, meaning the contracted $156.25/month was being charged without being used. Under the renewal, USA support is available on demand at the standard Rate Card rates ($150/hr Normal, $200/hr After-Hours, 2-hour minimum). If AAVA does not call on USA Tech Support, there is no charge.</w:t>
      </w:r>
    </w:p>
    <w:p>
      <w:pPr>
        <w:spacing w:after="80"/>
      </w:pPr>
    </w:p>
    <w:p>
      <w:pPr>
        <w:spacing w:after="60"/>
      </w:pPr>
      <w:r>
        <w:rPr>
          <w:rFonts w:ascii="Open Sans" w:hAnsi="Open Sans"/>
          <w:b/>
          <w:i w:val="0"/>
          <w:color w:val="1A1A2E"/>
          <w:sz w:val="20"/>
        </w:rPr>
        <w:t>3. Endpoint security and offshore support stay the same.</w:t>
      </w:r>
      <w:r>
        <w:rPr>
          <w:rFonts w:ascii="Open Sans" w:hAnsi="Open Sans"/>
          <w:b w:val="0"/>
          <w:i w:val="0"/>
          <w:color w:val="59595B"/>
          <w:sz w:val="20"/>
        </w:rPr>
      </w:r>
    </w:p>
    <w:p>
      <w:pPr>
        <w:spacing w:after="120"/>
      </w:pPr>
      <w:r>
        <w:rPr>
          <w:rFonts w:ascii="Open Sans" w:hAnsi="Open Sans"/>
          <w:b w:val="0"/>
          <w:i w:val="0"/>
          <w:color w:val="59595B"/>
          <w:sz w:val="20"/>
        </w:rPr>
        <w:t>All eight (8) desktops continue to receive CrowdStrike, Huntress, DNS filtering, patch management, and remote access under the same pricing. India Tech support hours remain at the prior contracted levels (4.55 Normal + 1.77 After-Hours).</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IMPORTANT — UNPAID SUPPORT HOURS BALANCE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What Is the Unpaid Balance?</w:t>
            </w:r>
          </w:p>
        </w:tc>
      </w:tr>
    </w:tbl>
    <w:p>
      <w:pPr>
        <w:spacing w:after="120"/>
      </w:pPr>
      <w:r>
        <w:rPr>
          <w:rFonts w:ascii="Open Sans" w:hAnsi="Open Sans"/>
          <w:b w:val="0"/>
          <w:i w:val="0"/>
          <w:color w:val="59595B"/>
          <w:sz w:val="20"/>
        </w:rPr>
        <w:t>Under Technijian’s cycle-based billing model, each contracted support role has a committed number of monthly hours. When AAVA’s actual usage of a role exceeds the contracted hours, the extra hours are documented through ticketing but not billed on the regular monthly invoice — they accumulate as an “Unpaid Balance” that becomes due if the agreement is terminated or non-renewed.</w:t>
      </w:r>
    </w:p>
    <w:p>
      <w:pPr>
        <w:spacing w:after="80"/>
      </w:pPr>
    </w:p>
    <w:p>
      <w:pPr>
        <w:spacing w:after="60"/>
      </w:pPr>
      <w:r>
        <w:rPr>
          <w:rFonts w:ascii="Open Sans" w:hAnsi="Open Sans"/>
          <w:b/>
          <w:i w:val="0"/>
          <w:color w:val="1A1A2E"/>
          <w:sz w:val="20"/>
        </w:rPr>
        <w:t>Current Unpaid Balance as of April 1, 2026:</w:t>
      </w:r>
      <w:r>
        <w:rPr>
          <w:rFonts w:ascii="Open Sans" w:hAnsi="Open Sans"/>
          <w:b w:val="0"/>
          <w:i w:val="0"/>
          <w:color w:val="59595B"/>
          <w:sz w:val="20"/>
        </w:rPr>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Role</w:t>
            </w:r>
          </w:p>
        </w:tc>
        <w:tc>
          <w:tcPr>
            <w:tcW w:type="dxa" w:w="2340"/>
            <w:shd w:fill="006DB6" w:val="clear"/>
          </w:tcPr>
          <w:p>
            <w:r/>
            <w:r>
              <w:rPr>
                <w:rFonts w:ascii="Open Sans" w:hAnsi="Open Sans"/>
                <w:b/>
                <w:i w:val="0"/>
                <w:color w:val="FFFFFF"/>
                <w:sz w:val="18"/>
              </w:rPr>
              <w:t>Unpaid Hours</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Amount</w:t>
            </w:r>
          </w:p>
        </w:tc>
      </w:tr>
      <w:tr>
        <w:tc>
          <w:tcPr>
            <w:tcW w:type="dxa" w:w="2340"/>
          </w:tcPr>
          <w:p>
            <w:r/>
            <w:r>
              <w:rPr>
                <w:rFonts w:ascii="Open Sans" w:hAnsi="Open Sans"/>
                <w:b w:val="0"/>
                <w:i w:val="0"/>
                <w:color w:val="59595B"/>
                <w:sz w:val="18"/>
              </w:rPr>
              <w:t>India Tech — Normal Hours</w:t>
            </w:r>
          </w:p>
        </w:tc>
        <w:tc>
          <w:tcPr>
            <w:tcW w:type="dxa" w:w="2340"/>
          </w:tcPr>
          <w:p>
            <w:r/>
            <w:r>
              <w:rPr>
                <w:rFonts w:ascii="Open Sans" w:hAnsi="Open Sans"/>
                <w:b w:val="0"/>
                <w:i w:val="0"/>
                <w:color w:val="59595B"/>
                <w:sz w:val="18"/>
              </w:rPr>
              <w:t>40.41</w:t>
            </w:r>
          </w:p>
        </w:tc>
        <w:tc>
          <w:tcPr>
            <w:tcW w:type="dxa" w:w="2340"/>
          </w:tcPr>
          <w:p>
            <w:r/>
            <w:r>
              <w:rPr>
                <w:rFonts w:ascii="Open Sans" w:hAnsi="Open Sans"/>
                <w:b w:val="0"/>
                <w:i w:val="0"/>
                <w:color w:val="59595B"/>
                <w:sz w:val="18"/>
              </w:rPr>
              <w:t>$15/hr</w:t>
            </w:r>
          </w:p>
        </w:tc>
        <w:tc>
          <w:tcPr>
            <w:tcW w:type="dxa" w:w="2340"/>
          </w:tcPr>
          <w:p>
            <w:r/>
            <w:r>
              <w:rPr>
                <w:rFonts w:ascii="Open Sans" w:hAnsi="Open Sans"/>
                <w:b w:val="0"/>
                <w:i w:val="0"/>
                <w:color w:val="59595B"/>
                <w:sz w:val="18"/>
              </w:rPr>
              <w:t>$606.15</w:t>
            </w:r>
          </w:p>
        </w:tc>
      </w:tr>
      <w:tr>
        <w:tc>
          <w:tcPr>
            <w:tcW w:type="dxa" w:w="2340"/>
          </w:tcPr>
          <w:p>
            <w:r/>
            <w:r>
              <w:rPr>
                <w:rFonts w:ascii="Open Sans" w:hAnsi="Open Sans"/>
                <w:b w:val="0"/>
                <w:i w:val="0"/>
                <w:color w:val="59595B"/>
                <w:sz w:val="18"/>
              </w:rPr>
              <w:t>India Tech — After-Hours</w:t>
            </w:r>
          </w:p>
        </w:tc>
        <w:tc>
          <w:tcPr>
            <w:tcW w:type="dxa" w:w="2340"/>
          </w:tcPr>
          <w:p>
            <w:r/>
            <w:r>
              <w:rPr>
                <w:rFonts w:ascii="Open Sans" w:hAnsi="Open Sans"/>
                <w:b w:val="0"/>
                <w:i w:val="0"/>
                <w:color w:val="59595B"/>
                <w:sz w:val="18"/>
              </w:rPr>
              <w:t>16.29</w:t>
            </w:r>
          </w:p>
        </w:tc>
        <w:tc>
          <w:tcPr>
            <w:tcW w:type="dxa" w:w="2340"/>
          </w:tcPr>
          <w:p>
            <w:r/>
            <w:r>
              <w:rPr>
                <w:rFonts w:ascii="Open Sans" w:hAnsi="Open Sans"/>
                <w:b w:val="0"/>
                <w:i w:val="0"/>
                <w:color w:val="59595B"/>
                <w:sz w:val="18"/>
              </w:rPr>
              <w:t>$30/hr</w:t>
            </w:r>
          </w:p>
        </w:tc>
        <w:tc>
          <w:tcPr>
            <w:tcW w:type="dxa" w:w="2340"/>
          </w:tcPr>
          <w:p>
            <w:r/>
            <w:r>
              <w:rPr>
                <w:rFonts w:ascii="Open Sans" w:hAnsi="Open Sans"/>
                <w:b w:val="0"/>
                <w:i w:val="0"/>
                <w:color w:val="59595B"/>
                <w:sz w:val="18"/>
              </w:rPr>
              <w:t>$488.70</w:t>
            </w:r>
          </w:p>
        </w:tc>
      </w:tr>
      <w:tr>
        <w:tc>
          <w:tcPr>
            <w:tcW w:type="dxa" w:w="2340"/>
            <w:shd w:fill="F8F9FA" w:val="clear"/>
          </w:tcPr>
          <w:p>
            <w:r/>
            <w:r>
              <w:rPr>
                <w:rFonts w:ascii="Open Sans" w:hAnsi="Open Sans"/>
                <w:b/>
                <w:i w:val="0"/>
                <w:color w:val="1A1A2E"/>
                <w:sz w:val="18"/>
              </w:rPr>
              <w:t>TOTAL UNPAID BALANCE</w:t>
            </w:r>
          </w:p>
        </w:tc>
        <w:tc>
          <w:tcPr>
            <w:tcW w:type="dxa" w:w="2340"/>
            <w:shd w:fill="F8F9FA" w:val="clear"/>
          </w:tcPr>
          <w:p>
            <w:r/>
            <w:r>
              <w:rPr>
                <w:rFonts w:ascii="Open Sans" w:hAnsi="Open Sans"/>
                <w:b/>
                <w:i w:val="0"/>
                <w:color w:val="1A1A2E"/>
                <w:sz w:val="18"/>
              </w:rPr>
              <w:t>56.70</w:t>
            </w:r>
          </w:p>
        </w:tc>
        <w:tc>
          <w:tcPr>
            <w:tcW w:type="dxa" w:w="2340"/>
            <w:shd w:fill="F8F9FA" w:val="clear"/>
          </w:tcPr>
          <w:p>
            <w:r/>
            <w:r>
              <w:rPr>
                <w:rFonts w:ascii="Open Sans" w:hAnsi="Open Sans"/>
                <w:b/>
                <w:i w:val="0"/>
                <w:color w:val="1A1A2E"/>
                <w:sz w:val="18"/>
              </w:rPr>
            </w:r>
          </w:p>
        </w:tc>
        <w:tc>
          <w:tcPr>
            <w:tcW w:type="dxa" w:w="2340"/>
            <w:shd w:fill="F8F9FA" w:val="clear"/>
          </w:tcPr>
          <w:p>
            <w:r/>
            <w:r>
              <w:rPr>
                <w:rFonts w:ascii="Open Sans" w:hAnsi="Open Sans"/>
                <w:b/>
                <w:i w:val="0"/>
                <w:color w:val="1A1A2E"/>
                <w:sz w:val="18"/>
              </w:rPr>
              <w:t>$1,094.85</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Why the Balance Is Growing</w:t>
            </w:r>
          </w:p>
        </w:tc>
      </w:tr>
    </w:tbl>
    <w:p>
      <w:pPr>
        <w:spacing w:after="120"/>
      </w:pPr>
      <w:r>
        <w:rPr>
          <w:rFonts w:ascii="Open Sans" w:hAnsi="Open Sans"/>
          <w:b w:val="0"/>
          <w:i w:val="0"/>
          <w:color w:val="59595B"/>
          <w:sz w:val="20"/>
        </w:rPr>
        <w:t>AAVA’s actual monthly India Tech usage is currently higher than the contracted hours in the agreement. In the most recent reporting period (March 2026), actual usage compared against contracted hours was:</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Contracted (hrs)</w:t>
            </w:r>
          </w:p>
        </w:tc>
        <w:tc>
          <w:tcPr>
            <w:tcW w:type="dxa" w:w="1872"/>
            <w:shd w:fill="006DB6" w:val="clear"/>
          </w:tcPr>
          <w:p>
            <w:r/>
            <w:r>
              <w:rPr>
                <w:rFonts w:ascii="Open Sans" w:hAnsi="Open Sans"/>
                <w:b/>
                <w:i w:val="0"/>
                <w:color w:val="FFFFFF"/>
                <w:sz w:val="18"/>
              </w:rPr>
              <w:t>Actual March (hrs)</w:t>
            </w:r>
          </w:p>
        </w:tc>
        <w:tc>
          <w:tcPr>
            <w:tcW w:type="dxa" w:w="1872"/>
            <w:shd w:fill="006DB6" w:val="clear"/>
          </w:tcPr>
          <w:p>
            <w:r/>
            <w:r>
              <w:rPr>
                <w:rFonts w:ascii="Open Sans" w:hAnsi="Open Sans"/>
                <w:b/>
                <w:i w:val="0"/>
                <w:color w:val="FFFFFF"/>
                <w:sz w:val="18"/>
              </w:rPr>
              <w:t>Over-Use (hrs)</w:t>
            </w:r>
          </w:p>
        </w:tc>
        <w:tc>
          <w:tcPr>
            <w:tcW w:type="dxa" w:w="1872"/>
            <w:shd w:fill="006DB6" w:val="clear"/>
          </w:tcPr>
          <w:p>
            <w:r/>
            <w:r>
              <w:rPr>
                <w:rFonts w:ascii="Open Sans" w:hAnsi="Open Sans"/>
                <w:b/>
                <w:i w:val="0"/>
                <w:color w:val="FFFFFF"/>
                <w:sz w:val="18"/>
              </w:rPr>
              <w:t>Over-Use ($)</w:t>
            </w:r>
          </w:p>
        </w:tc>
      </w:tr>
      <w:tr>
        <w:tc>
          <w:tcPr>
            <w:tcW w:type="dxa" w:w="1872"/>
          </w:tcPr>
          <w:p>
            <w:r/>
            <w:r>
              <w:rPr>
                <w:rFonts w:ascii="Open Sans" w:hAnsi="Open Sans"/>
                <w:b w:val="0"/>
                <w:i w:val="0"/>
                <w:color w:val="59595B"/>
                <w:sz w:val="18"/>
              </w:rPr>
              <w:t>India Tech — Normal</w:t>
            </w:r>
          </w:p>
        </w:tc>
        <w:tc>
          <w:tcPr>
            <w:tcW w:type="dxa" w:w="1872"/>
          </w:tcPr>
          <w:p>
            <w:r/>
            <w:r>
              <w:rPr>
                <w:rFonts w:ascii="Open Sans" w:hAnsi="Open Sans"/>
                <w:b w:val="0"/>
                <w:i w:val="0"/>
                <w:color w:val="59595B"/>
                <w:sz w:val="18"/>
              </w:rPr>
              <w:t>4.55</w:t>
            </w:r>
          </w:p>
        </w:tc>
        <w:tc>
          <w:tcPr>
            <w:tcW w:type="dxa" w:w="1872"/>
          </w:tcPr>
          <w:p>
            <w:r/>
            <w:r>
              <w:rPr>
                <w:rFonts w:ascii="Open Sans" w:hAnsi="Open Sans"/>
                <w:b w:val="0"/>
                <w:i w:val="0"/>
                <w:color w:val="59595B"/>
                <w:sz w:val="18"/>
              </w:rPr>
              <w:t>9.91</w:t>
            </w:r>
          </w:p>
        </w:tc>
        <w:tc>
          <w:tcPr>
            <w:tcW w:type="dxa" w:w="1872"/>
          </w:tcPr>
          <w:p>
            <w:r/>
            <w:r>
              <w:rPr>
                <w:rFonts w:ascii="Open Sans" w:hAnsi="Open Sans"/>
                <w:b w:val="0"/>
                <w:i w:val="0"/>
                <w:color w:val="59595B"/>
                <w:sz w:val="18"/>
              </w:rPr>
              <w:t>5.36</w:t>
            </w:r>
          </w:p>
        </w:tc>
        <w:tc>
          <w:tcPr>
            <w:tcW w:type="dxa" w:w="1872"/>
          </w:tcPr>
          <w:p>
            <w:r/>
            <w:r>
              <w:rPr>
                <w:rFonts w:ascii="Open Sans" w:hAnsi="Open Sans"/>
                <w:b w:val="0"/>
                <w:i w:val="0"/>
                <w:color w:val="59595B"/>
                <w:sz w:val="18"/>
              </w:rPr>
              <w:t>$80.40</w:t>
            </w:r>
          </w:p>
        </w:tc>
      </w:tr>
      <w:tr>
        <w:tc>
          <w:tcPr>
            <w:tcW w:type="dxa" w:w="1872"/>
          </w:tcPr>
          <w:p>
            <w:r/>
            <w:r>
              <w:rPr>
                <w:rFonts w:ascii="Open Sans" w:hAnsi="Open Sans"/>
                <w:b w:val="0"/>
                <w:i w:val="0"/>
                <w:color w:val="59595B"/>
                <w:sz w:val="18"/>
              </w:rPr>
              <w:t>India Tech — After-Hours</w:t>
            </w:r>
          </w:p>
        </w:tc>
        <w:tc>
          <w:tcPr>
            <w:tcW w:type="dxa" w:w="1872"/>
          </w:tcPr>
          <w:p>
            <w:r/>
            <w:r>
              <w:rPr>
                <w:rFonts w:ascii="Open Sans" w:hAnsi="Open Sans"/>
                <w:b w:val="0"/>
                <w:i w:val="0"/>
                <w:color w:val="59595B"/>
                <w:sz w:val="18"/>
              </w:rPr>
              <w:t>1.77</w:t>
            </w:r>
          </w:p>
        </w:tc>
        <w:tc>
          <w:tcPr>
            <w:tcW w:type="dxa" w:w="1872"/>
          </w:tcPr>
          <w:p>
            <w:r/>
            <w:r>
              <w:rPr>
                <w:rFonts w:ascii="Open Sans" w:hAnsi="Open Sans"/>
                <w:b w:val="0"/>
                <w:i w:val="0"/>
                <w:color w:val="59595B"/>
                <w:sz w:val="18"/>
              </w:rPr>
              <w:t>2.38</w:t>
            </w:r>
          </w:p>
        </w:tc>
        <w:tc>
          <w:tcPr>
            <w:tcW w:type="dxa" w:w="1872"/>
          </w:tcPr>
          <w:p>
            <w:r/>
            <w:r>
              <w:rPr>
                <w:rFonts w:ascii="Open Sans" w:hAnsi="Open Sans"/>
                <w:b w:val="0"/>
                <w:i w:val="0"/>
                <w:color w:val="59595B"/>
                <w:sz w:val="18"/>
              </w:rPr>
              <w:t>0.61</w:t>
            </w:r>
          </w:p>
        </w:tc>
        <w:tc>
          <w:tcPr>
            <w:tcW w:type="dxa" w:w="1872"/>
          </w:tcPr>
          <w:p>
            <w:r/>
            <w:r>
              <w:rPr>
                <w:rFonts w:ascii="Open Sans" w:hAnsi="Open Sans"/>
                <w:b w:val="0"/>
                <w:i w:val="0"/>
                <w:color w:val="59595B"/>
                <w:sz w:val="18"/>
              </w:rPr>
              <w:t>$18.30</w:t>
            </w:r>
          </w:p>
        </w:tc>
      </w:tr>
      <w:tr>
        <w:tc>
          <w:tcPr>
            <w:tcW w:type="dxa" w:w="1872"/>
            <w:shd w:fill="F8F9FA" w:val="clear"/>
          </w:tcPr>
          <w:p>
            <w:r/>
            <w:r>
              <w:rPr>
                <w:rFonts w:ascii="Open Sans" w:hAnsi="Open Sans"/>
                <w:b/>
                <w:i w:val="0"/>
                <w:color w:val="1A1A2E"/>
                <w:sz w:val="18"/>
              </w:rPr>
              <w:t>TOTAL PER MONTH</w:t>
            </w:r>
          </w:p>
        </w:tc>
        <w:tc>
          <w:tcPr>
            <w:tcW w:type="dxa" w:w="1872"/>
            <w:shd w:fill="F8F9FA" w:val="clear"/>
          </w:tcPr>
          <w:p>
            <w:r/>
            <w:r>
              <w:rPr>
                <w:rFonts w:ascii="Open Sans" w:hAnsi="Open Sans"/>
                <w:b/>
                <w:i w:val="0"/>
                <w:color w:val="1A1A2E"/>
                <w:sz w:val="18"/>
              </w:rPr>
              <w:t>6.32</w:t>
            </w:r>
          </w:p>
        </w:tc>
        <w:tc>
          <w:tcPr>
            <w:tcW w:type="dxa" w:w="1872"/>
            <w:shd w:fill="F8F9FA" w:val="clear"/>
          </w:tcPr>
          <w:p>
            <w:r/>
            <w:r>
              <w:rPr>
                <w:rFonts w:ascii="Open Sans" w:hAnsi="Open Sans"/>
                <w:b/>
                <w:i w:val="0"/>
                <w:color w:val="1A1A2E"/>
                <w:sz w:val="18"/>
              </w:rPr>
              <w:t>12.29</w:t>
            </w:r>
          </w:p>
        </w:tc>
        <w:tc>
          <w:tcPr>
            <w:tcW w:type="dxa" w:w="1872"/>
            <w:shd w:fill="F8F9FA" w:val="clear"/>
          </w:tcPr>
          <w:p>
            <w:r/>
            <w:r>
              <w:rPr>
                <w:rFonts w:ascii="Open Sans" w:hAnsi="Open Sans"/>
                <w:b/>
                <w:i w:val="0"/>
                <w:color w:val="1A1A2E"/>
                <w:sz w:val="18"/>
              </w:rPr>
              <w:t>5.97</w:t>
            </w:r>
          </w:p>
        </w:tc>
        <w:tc>
          <w:tcPr>
            <w:tcW w:type="dxa" w:w="1872"/>
            <w:shd w:fill="F8F9FA" w:val="clear"/>
          </w:tcPr>
          <w:p>
            <w:r/>
            <w:r>
              <w:rPr>
                <w:rFonts w:ascii="Open Sans" w:hAnsi="Open Sans"/>
                <w:b/>
                <w:i w:val="0"/>
                <w:color w:val="1A1A2E"/>
                <w:sz w:val="18"/>
              </w:rPr>
              <w:t>$98.70</w:t>
            </w:r>
          </w:p>
        </w:tc>
      </w:tr>
    </w:tbl>
    <w:p>
      <w:pPr>
        <w:spacing w:after="80"/>
      </w:pPr>
    </w:p>
    <w:p>
      <w:pPr>
        <w:spacing w:after="120"/>
      </w:pPr>
      <w:r>
        <w:rPr>
          <w:rFonts w:ascii="Open Sans" w:hAnsi="Open Sans"/>
          <w:b w:val="0"/>
          <w:i w:val="0"/>
          <w:color w:val="59595B"/>
          <w:sz w:val="20"/>
        </w:rPr>
        <w:t>At the current usage pattern, the Unpaid Balance will grow by approximately $98.70 per month. Over the 12-month renewal term, that would add roughly $1,184 to the Unpaid Balance, bringing the total at the end of the term to approximately $2,279 if no action is taken and usage stays at March 2026 levels.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How to Bring the Unpaid Balance Down</w:t>
            </w:r>
          </w:p>
        </w:tc>
      </w:tr>
    </w:tbl>
    <w:p>
      <w:pPr>
        <w:spacing w:after="120"/>
      </w:pPr>
      <w:r>
        <w:rPr>
          <w:rFonts w:ascii="Open Sans" w:hAnsi="Open Sans"/>
          <w:b w:val="0"/>
          <w:i w:val="0"/>
          <w:color w:val="59595B"/>
          <w:sz w:val="20"/>
        </w:rPr>
        <w:t>The Unpaid Balance can only decrease if AAVA’s actual monthly usage falls below the contracted hours. Every hour of India Tech support that AAVA does not need in a given month is applied against the Unpaid Balance. Examples:</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Scenario</w:t>
            </w:r>
          </w:p>
        </w:tc>
        <w:tc>
          <w:tcPr>
            <w:tcW w:type="dxa" w:w="2340"/>
            <w:shd w:fill="006DB6" w:val="clear"/>
          </w:tcPr>
          <w:p>
            <w:r/>
            <w:r>
              <w:rPr>
                <w:rFonts w:ascii="Open Sans" w:hAnsi="Open Sans"/>
                <w:b/>
                <w:i w:val="0"/>
                <w:color w:val="FFFFFF"/>
                <w:sz w:val="18"/>
              </w:rPr>
              <w:t>India Normal (actual)</w:t>
            </w:r>
          </w:p>
        </w:tc>
        <w:tc>
          <w:tcPr>
            <w:tcW w:type="dxa" w:w="2340"/>
            <w:shd w:fill="006DB6" w:val="clear"/>
          </w:tcPr>
          <w:p>
            <w:r/>
            <w:r>
              <w:rPr>
                <w:rFonts w:ascii="Open Sans" w:hAnsi="Open Sans"/>
                <w:b/>
                <w:i w:val="0"/>
                <w:color w:val="FFFFFF"/>
                <w:sz w:val="18"/>
              </w:rPr>
              <w:t>India AH (actual)</w:t>
            </w:r>
          </w:p>
        </w:tc>
        <w:tc>
          <w:tcPr>
            <w:tcW w:type="dxa" w:w="2340"/>
            <w:shd w:fill="006DB6" w:val="clear"/>
          </w:tcPr>
          <w:p>
            <w:r/>
            <w:r>
              <w:rPr>
                <w:rFonts w:ascii="Open Sans" w:hAnsi="Open Sans"/>
                <w:b/>
                <w:i w:val="0"/>
                <w:color w:val="FFFFFF"/>
                <w:sz w:val="18"/>
              </w:rPr>
              <w:t>Monthly Impact on Unpaid</w:t>
            </w:r>
          </w:p>
        </w:tc>
      </w:tr>
      <w:tr>
        <w:tc>
          <w:tcPr>
            <w:tcW w:type="dxa" w:w="2340"/>
          </w:tcPr>
          <w:p>
            <w:r/>
            <w:r>
              <w:rPr>
                <w:rFonts w:ascii="Open Sans" w:hAnsi="Open Sans"/>
                <w:b w:val="0"/>
                <w:i w:val="0"/>
                <w:color w:val="59595B"/>
                <w:sz w:val="18"/>
              </w:rPr>
              <w:t>Usage stays at March levels</w:t>
            </w:r>
          </w:p>
        </w:tc>
        <w:tc>
          <w:tcPr>
            <w:tcW w:type="dxa" w:w="2340"/>
          </w:tcPr>
          <w:p>
            <w:r/>
            <w:r>
              <w:rPr>
                <w:rFonts w:ascii="Open Sans" w:hAnsi="Open Sans"/>
                <w:b w:val="0"/>
                <w:i w:val="0"/>
                <w:color w:val="59595B"/>
                <w:sz w:val="18"/>
              </w:rPr>
              <w:t>9.91 hrs</w:t>
            </w:r>
          </w:p>
        </w:tc>
        <w:tc>
          <w:tcPr>
            <w:tcW w:type="dxa" w:w="2340"/>
          </w:tcPr>
          <w:p>
            <w:r/>
            <w:r>
              <w:rPr>
                <w:rFonts w:ascii="Open Sans" w:hAnsi="Open Sans"/>
                <w:b w:val="0"/>
                <w:i w:val="0"/>
                <w:color w:val="59595B"/>
                <w:sz w:val="18"/>
              </w:rPr>
              <w:t>2.38 hrs</w:t>
            </w:r>
          </w:p>
        </w:tc>
        <w:tc>
          <w:tcPr>
            <w:tcW w:type="dxa" w:w="2340"/>
          </w:tcPr>
          <w:p>
            <w:r/>
            <w:r>
              <w:rPr>
                <w:rFonts w:ascii="Open Sans" w:hAnsi="Open Sans"/>
                <w:b w:val="0"/>
                <w:i w:val="0"/>
                <w:color w:val="59595B"/>
                <w:sz w:val="18"/>
              </w:rPr>
              <w:t>Grows by $98.70</w:t>
            </w:r>
          </w:p>
        </w:tc>
      </w:tr>
      <w:tr>
        <w:tc>
          <w:tcPr>
            <w:tcW w:type="dxa" w:w="2340"/>
          </w:tcPr>
          <w:p>
            <w:r/>
            <w:r>
              <w:rPr>
                <w:rFonts w:ascii="Open Sans" w:hAnsi="Open Sans"/>
                <w:b w:val="0"/>
                <w:i w:val="0"/>
                <w:color w:val="59595B"/>
                <w:sz w:val="18"/>
              </w:rPr>
              <w:t>Usage drops to contracted</w:t>
            </w:r>
          </w:p>
        </w:tc>
        <w:tc>
          <w:tcPr>
            <w:tcW w:type="dxa" w:w="2340"/>
          </w:tcPr>
          <w:p>
            <w:r/>
            <w:r>
              <w:rPr>
                <w:rFonts w:ascii="Open Sans" w:hAnsi="Open Sans"/>
                <w:b w:val="0"/>
                <w:i w:val="0"/>
                <w:color w:val="59595B"/>
                <w:sz w:val="18"/>
              </w:rPr>
              <w:t>4.55 hrs</w:t>
            </w:r>
          </w:p>
        </w:tc>
        <w:tc>
          <w:tcPr>
            <w:tcW w:type="dxa" w:w="2340"/>
          </w:tcPr>
          <w:p>
            <w:r/>
            <w:r>
              <w:rPr>
                <w:rFonts w:ascii="Open Sans" w:hAnsi="Open Sans"/>
                <w:b w:val="0"/>
                <w:i w:val="0"/>
                <w:color w:val="59595B"/>
                <w:sz w:val="18"/>
              </w:rPr>
              <w:t>1.77 hrs</w:t>
            </w:r>
          </w:p>
        </w:tc>
        <w:tc>
          <w:tcPr>
            <w:tcW w:type="dxa" w:w="2340"/>
          </w:tcPr>
          <w:p>
            <w:r/>
            <w:r>
              <w:rPr>
                <w:rFonts w:ascii="Open Sans" w:hAnsi="Open Sans"/>
                <w:b w:val="0"/>
                <w:i w:val="0"/>
                <w:color w:val="59595B"/>
                <w:sz w:val="18"/>
              </w:rPr>
              <w:t>Unchanged ($0)</w:t>
            </w:r>
          </w:p>
        </w:tc>
      </w:tr>
      <w:tr>
        <w:tc>
          <w:tcPr>
            <w:tcW w:type="dxa" w:w="2340"/>
          </w:tcPr>
          <w:p>
            <w:r/>
            <w:r>
              <w:rPr>
                <w:rFonts w:ascii="Open Sans" w:hAnsi="Open Sans"/>
                <w:b w:val="0"/>
                <w:i w:val="0"/>
                <w:color w:val="59595B"/>
                <w:sz w:val="18"/>
              </w:rPr>
              <w:t>Usage drops 25% below contracted</w:t>
            </w:r>
          </w:p>
        </w:tc>
        <w:tc>
          <w:tcPr>
            <w:tcW w:type="dxa" w:w="2340"/>
          </w:tcPr>
          <w:p>
            <w:r/>
            <w:r>
              <w:rPr>
                <w:rFonts w:ascii="Open Sans" w:hAnsi="Open Sans"/>
                <w:b w:val="0"/>
                <w:i w:val="0"/>
                <w:color w:val="59595B"/>
                <w:sz w:val="18"/>
              </w:rPr>
              <w:t>3.41 hrs</w:t>
            </w:r>
          </w:p>
        </w:tc>
        <w:tc>
          <w:tcPr>
            <w:tcW w:type="dxa" w:w="2340"/>
          </w:tcPr>
          <w:p>
            <w:r/>
            <w:r>
              <w:rPr>
                <w:rFonts w:ascii="Open Sans" w:hAnsi="Open Sans"/>
                <w:b w:val="0"/>
                <w:i w:val="0"/>
                <w:color w:val="59595B"/>
                <w:sz w:val="18"/>
              </w:rPr>
              <w:t>1.33 hrs</w:t>
            </w:r>
          </w:p>
        </w:tc>
        <w:tc>
          <w:tcPr>
            <w:tcW w:type="dxa" w:w="2340"/>
          </w:tcPr>
          <w:p>
            <w:r/>
            <w:r>
              <w:rPr>
                <w:rFonts w:ascii="Open Sans" w:hAnsi="Open Sans"/>
                <w:b w:val="0"/>
                <w:i w:val="0"/>
                <w:color w:val="59595B"/>
                <w:sz w:val="18"/>
              </w:rPr>
              <w:t>Reduces by ~$30.50</w:t>
            </w:r>
          </w:p>
        </w:tc>
      </w:tr>
      <w:tr>
        <w:tc>
          <w:tcPr>
            <w:tcW w:type="dxa" w:w="2340"/>
          </w:tcPr>
          <w:p>
            <w:r/>
            <w:r>
              <w:rPr>
                <w:rFonts w:ascii="Open Sans" w:hAnsi="Open Sans"/>
                <w:b w:val="0"/>
                <w:i w:val="0"/>
                <w:color w:val="59595B"/>
                <w:sz w:val="18"/>
              </w:rPr>
              <w:t>Usage drops 50% below contracted</w:t>
            </w:r>
          </w:p>
        </w:tc>
        <w:tc>
          <w:tcPr>
            <w:tcW w:type="dxa" w:w="2340"/>
          </w:tcPr>
          <w:p>
            <w:r/>
            <w:r>
              <w:rPr>
                <w:rFonts w:ascii="Open Sans" w:hAnsi="Open Sans"/>
                <w:b w:val="0"/>
                <w:i w:val="0"/>
                <w:color w:val="59595B"/>
                <w:sz w:val="18"/>
              </w:rPr>
              <w:t>2.28 hrs</w:t>
            </w:r>
          </w:p>
        </w:tc>
        <w:tc>
          <w:tcPr>
            <w:tcW w:type="dxa" w:w="2340"/>
          </w:tcPr>
          <w:p>
            <w:r/>
            <w:r>
              <w:rPr>
                <w:rFonts w:ascii="Open Sans" w:hAnsi="Open Sans"/>
                <w:b w:val="0"/>
                <w:i w:val="0"/>
                <w:color w:val="59595B"/>
                <w:sz w:val="18"/>
              </w:rPr>
              <w:t>0.89 hrs</w:t>
            </w:r>
          </w:p>
        </w:tc>
        <w:tc>
          <w:tcPr>
            <w:tcW w:type="dxa" w:w="2340"/>
          </w:tcPr>
          <w:p>
            <w:r/>
            <w:r>
              <w:rPr>
                <w:rFonts w:ascii="Open Sans" w:hAnsi="Open Sans"/>
                <w:b w:val="0"/>
                <w:i w:val="0"/>
                <w:color w:val="59595B"/>
                <w:sz w:val="18"/>
              </w:rPr>
              <w:t>Reduces by ~$60.45</w:t>
            </w:r>
          </w:p>
        </w:tc>
      </w:tr>
    </w:tbl>
    <w:p>
      <w:pPr>
        <w:spacing w:after="80"/>
      </w:pPr>
    </w:p>
    <w:p>
      <w:pPr>
        <w:spacing w:after="120"/>
      </w:pPr>
      <w:r>
        <w:rPr>
          <w:rFonts w:ascii="Open Sans" w:hAnsi="Open Sans"/>
          <w:b w:val="0"/>
          <w:i w:val="0"/>
          <w:color w:val="59595B"/>
          <w:sz w:val="20"/>
        </w:rPr>
        <w:t>Put simply: to pay down the Unpaid Balance, actual monthly support usage must drop below the contracted hours (4.55 India Normal + 1.77 India After-Hours). Any month where usage exceeds those levels will add to the Unpaid Balance; any month where usage is below will reduce it.</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Recommendations</w:t>
            </w:r>
          </w:p>
        </w:tc>
      </w:tr>
    </w:tbl>
    <w:p>
      <w:pPr>
        <w:spacing w:after="80"/>
      </w:pPr>
    </w:p>
    <w:p>
      <w:pPr>
        <w:spacing w:after="60"/>
      </w:pPr>
      <w:r>
        <w:rPr>
          <w:rFonts w:ascii="Open Sans" w:hAnsi="Open Sans"/>
          <w:b/>
          <w:i w:val="0"/>
          <w:color w:val="1A1A2E"/>
          <w:sz w:val="20"/>
        </w:rPr>
        <w:t>Option A — Maintain the renewal as-is and target lower usage.</w:t>
      </w:r>
      <w:r>
        <w:rPr>
          <w:rFonts w:ascii="Open Sans" w:hAnsi="Open Sans"/>
          <w:b w:val="0"/>
          <w:i w:val="0"/>
          <w:color w:val="59595B"/>
          <w:sz w:val="20"/>
        </w:rPr>
      </w:r>
    </w:p>
    <w:p>
      <w:pPr>
        <w:spacing w:after="120"/>
      </w:pPr>
      <w:r>
        <w:rPr>
          <w:rFonts w:ascii="Open Sans" w:hAnsi="Open Sans"/>
          <w:b w:val="0"/>
          <w:i w:val="0"/>
          <w:color w:val="59595B"/>
          <w:sz w:val="20"/>
        </w:rPr>
        <w:t>AAVA receives the full $206.25/month savings immediately. Technijian will continue to provide detailed weekly ticket reports showing time entries by resource, role, and issue. Client reviews those reports to identify patterns and opportunities to reduce support consumption (training, documentation, recurring issues worth permanent fixes). This is the most common path for clients whose support volume is tied to fixable root causes.</w:t>
      </w:r>
    </w:p>
    <w:p>
      <w:pPr>
        <w:spacing w:after="80"/>
      </w:pPr>
    </w:p>
    <w:p>
      <w:pPr>
        <w:spacing w:after="60"/>
      </w:pPr>
      <w:r>
        <w:rPr>
          <w:rFonts w:ascii="Open Sans" w:hAnsi="Open Sans"/>
          <w:b/>
          <w:i w:val="0"/>
          <w:color w:val="1A1A2E"/>
          <w:sz w:val="20"/>
        </w:rPr>
        <w:t>Option B — Increase contracted hours to match actual usage.</w:t>
      </w:r>
      <w:r>
        <w:rPr>
          <w:rFonts w:ascii="Open Sans" w:hAnsi="Open Sans"/>
          <w:b w:val="0"/>
          <w:i w:val="0"/>
          <w:color w:val="59595B"/>
          <w:sz w:val="20"/>
        </w:rPr>
      </w:r>
    </w:p>
    <w:p>
      <w:pPr>
        <w:spacing w:after="120"/>
      </w:pPr>
      <w:r>
        <w:rPr>
          <w:rFonts w:ascii="Open Sans" w:hAnsi="Open Sans"/>
          <w:b w:val="0"/>
          <w:i w:val="0"/>
          <w:color w:val="59595B"/>
          <w:sz w:val="20"/>
        </w:rPr>
        <w:t>If AAVA expects support demand to stay at March 2026 levels, the contracted hours can be increased by written amendment so the monthly invoice matches actual usage and the Unpaid Balance stops growing. Increasing India Normal to approximately 10 hrs and India After-Hours to approximately 2.5 hrs would cost an additional ~$96/month but would freeze the Unpaid Balance at its current level.</w:t>
      </w:r>
    </w:p>
    <w:p>
      <w:pPr>
        <w:spacing w:after="80"/>
      </w:pPr>
    </w:p>
    <w:p>
      <w:pPr>
        <w:spacing w:after="60"/>
      </w:pPr>
      <w:r>
        <w:rPr>
          <w:rFonts w:ascii="Open Sans" w:hAnsi="Open Sans"/>
          <w:b/>
          <w:i w:val="0"/>
          <w:color w:val="1A1A2E"/>
          <w:sz w:val="20"/>
        </w:rPr>
        <w:t>Option C — Pay down the existing Unpaid Balance directly.</w:t>
      </w:r>
      <w:r>
        <w:rPr>
          <w:rFonts w:ascii="Open Sans" w:hAnsi="Open Sans"/>
          <w:b w:val="0"/>
          <w:i w:val="0"/>
          <w:color w:val="59595B"/>
          <w:sz w:val="20"/>
        </w:rPr>
      </w:r>
    </w:p>
    <w:p>
      <w:pPr>
        <w:spacing w:after="120"/>
      </w:pPr>
      <w:r>
        <w:rPr>
          <w:rFonts w:ascii="Open Sans" w:hAnsi="Open Sans"/>
          <w:b w:val="0"/>
          <w:i w:val="0"/>
          <w:color w:val="59595B"/>
          <w:sz w:val="20"/>
        </w:rPr>
        <w:t>Client may elect, at any time and by written notice, to settle all or any portion of the Unpaid Balance via a one-time payment at the contracted rates ($15/hr India Normal, $30/hr India After-Hours). This eliminates the termination liability exposure without changing the monthly rate.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Services Included at $333.35 / Month</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Category</w:t>
            </w:r>
          </w:p>
        </w:tc>
        <w:tc>
          <w:tcPr>
            <w:tcW w:type="dxa" w:w="4680"/>
            <w:shd w:fill="006DB6" w:val="clear"/>
          </w:tcPr>
          <w:p>
            <w:r/>
            <w:r>
              <w:rPr>
                <w:rFonts w:ascii="Open Sans" w:hAnsi="Open Sans"/>
                <w:b/>
                <w:i w:val="0"/>
                <w:color w:val="FFFFFF"/>
                <w:sz w:val="18"/>
              </w:rPr>
              <w:t>What’s Included</w:t>
            </w:r>
          </w:p>
        </w:tc>
      </w:tr>
      <w:tr>
        <w:tc>
          <w:tcPr>
            <w:tcW w:type="dxa" w:w="4680"/>
          </w:tcPr>
          <w:p>
            <w:r/>
            <w:r>
              <w:rPr>
                <w:rFonts w:ascii="Open Sans" w:hAnsi="Open Sans"/>
                <w:b w:val="0"/>
                <w:i w:val="0"/>
                <w:color w:val="59595B"/>
                <w:sz w:val="18"/>
              </w:rPr>
              <w:t>Endpoint Security</w:t>
            </w:r>
          </w:p>
        </w:tc>
        <w:tc>
          <w:tcPr>
            <w:tcW w:type="dxa" w:w="4680"/>
          </w:tcPr>
          <w:p>
            <w:r/>
            <w:r>
              <w:rPr>
                <w:rFonts w:ascii="Open Sans" w:hAnsi="Open Sans"/>
                <w:b w:val="0"/>
                <w:i w:val="0"/>
                <w:color w:val="59595B"/>
                <w:sz w:val="18"/>
              </w:rPr>
              <w:t>CrowdStrike Falcon EDR, Huntress Managed Detection, My Secure Internet (DNS), Patch Management, My Remote — on all 8 desktops</w:t>
            </w:r>
          </w:p>
        </w:tc>
      </w:tr>
      <w:tr>
        <w:tc>
          <w:tcPr>
            <w:tcW w:type="dxa" w:w="4680"/>
          </w:tcPr>
          <w:p>
            <w:r/>
            <w:r>
              <w:rPr>
                <w:rFonts w:ascii="Open Sans" w:hAnsi="Open Sans"/>
                <w:b w:val="0"/>
                <w:i w:val="0"/>
                <w:color w:val="59595B"/>
                <w:sz w:val="18"/>
              </w:rPr>
              <w:t>Offshore Support</w:t>
            </w:r>
          </w:p>
        </w:tc>
        <w:tc>
          <w:tcPr>
            <w:tcW w:type="dxa" w:w="4680"/>
          </w:tcPr>
          <w:p>
            <w:r/>
            <w:r>
              <w:rPr>
                <w:rFonts w:ascii="Open Sans" w:hAnsi="Open Sans"/>
                <w:b w:val="0"/>
                <w:i w:val="0"/>
                <w:color w:val="59595B"/>
                <w:sz w:val="18"/>
              </w:rPr>
              <w:t>4.55 hrs India Normal + 1.77 hrs India After-Hours per month, with full ticket documentation</w:t>
            </w:r>
          </w:p>
        </w:tc>
      </w:tr>
      <w:tr>
        <w:tc>
          <w:tcPr>
            <w:tcW w:type="dxa" w:w="4680"/>
          </w:tcPr>
          <w:p>
            <w:r/>
            <w:r>
              <w:rPr>
                <w:rFonts w:ascii="Open Sans" w:hAnsi="Open Sans"/>
                <w:b w:val="0"/>
                <w:i w:val="0"/>
                <w:color w:val="59595B"/>
                <w:sz w:val="18"/>
              </w:rPr>
              <w:t>USA Support</w:t>
            </w:r>
          </w:p>
        </w:tc>
        <w:tc>
          <w:tcPr>
            <w:tcW w:type="dxa" w:w="4680"/>
          </w:tcPr>
          <w:p>
            <w:r/>
            <w:r>
              <w:rPr>
                <w:rFonts w:ascii="Open Sans" w:hAnsi="Open Sans"/>
                <w:b w:val="0"/>
                <w:i w:val="0"/>
                <w:color w:val="59595B"/>
                <w:sz w:val="18"/>
              </w:rPr>
              <w:t>Available on demand at $150/hr (Normal) or $200/hr (After-Hours), 2-hr minimum</w:t>
            </w:r>
          </w:p>
        </w:tc>
      </w:tr>
      <w:tr>
        <w:tc>
          <w:tcPr>
            <w:tcW w:type="dxa" w:w="4680"/>
          </w:tcPr>
          <w:p>
            <w:r/>
            <w:r>
              <w:rPr>
                <w:rFonts w:ascii="Open Sans" w:hAnsi="Open Sans"/>
                <w:b w:val="0"/>
                <w:i w:val="0"/>
                <w:color w:val="59595B"/>
                <w:sz w:val="18"/>
              </w:rPr>
              <w:t>Service Level</w:t>
            </w:r>
          </w:p>
        </w:tc>
        <w:tc>
          <w:tcPr>
            <w:tcW w:type="dxa" w:w="4680"/>
          </w:tcPr>
          <w:p>
            <w:r/>
            <w:r>
              <w:rPr>
                <w:rFonts w:ascii="Open Sans" w:hAnsi="Open Sans"/>
                <w:b w:val="0"/>
                <w:i w:val="0"/>
                <w:color w:val="59595B"/>
                <w:sz w:val="18"/>
              </w:rPr>
              <w:t>4-hour response to remote support requests, 24-hour emergency onsite</w:t>
            </w:r>
          </w:p>
        </w:tc>
      </w:tr>
      <w:tr>
        <w:tc>
          <w:tcPr>
            <w:tcW w:type="dxa" w:w="4680"/>
          </w:tcPr>
          <w:p>
            <w:r/>
            <w:r>
              <w:rPr>
                <w:rFonts w:ascii="Open Sans" w:hAnsi="Open Sans"/>
                <w:b w:val="0"/>
                <w:i w:val="0"/>
                <w:color w:val="59595B"/>
                <w:sz w:val="18"/>
              </w:rPr>
              <w:t>Reporting</w:t>
            </w:r>
          </w:p>
        </w:tc>
        <w:tc>
          <w:tcPr>
            <w:tcW w:type="dxa" w:w="4680"/>
          </w:tcPr>
          <w:p>
            <w:r/>
            <w:r>
              <w:rPr>
                <w:rFonts w:ascii="Open Sans" w:hAnsi="Open Sans"/>
                <w:b w:val="0"/>
                <w:i w:val="0"/>
                <w:color w:val="59595B"/>
                <w:sz w:val="18"/>
              </w:rPr>
              <w:t>Detailed weekly ticket report showing resource, role, hours, and work performed per ticket</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Path Forward</w:t>
            </w:r>
          </w:p>
        </w:tc>
      </w:tr>
    </w:tbl>
    <w:p>
      <w:pPr>
        <w:spacing w:after="80"/>
      </w:pPr>
    </w:p>
    <w:p>
      <w:pPr>
        <w:spacing w:after="60"/>
      </w:pPr>
      <w:r>
        <w:rPr>
          <w:rFonts w:ascii="Open Sans" w:hAnsi="Open Sans"/>
          <w:b/>
          <w:i w:val="0"/>
          <w:color w:val="1A1A2E"/>
          <w:sz w:val="20"/>
        </w:rPr>
        <w:t>1. Review this summary and the renewal MSA.</w:t>
      </w:r>
      <w:r>
        <w:rPr>
          <w:rFonts w:ascii="Open Sans" w:hAnsi="Open Sans"/>
          <w:b w:val="0"/>
          <w:i w:val="0"/>
          <w:color w:val="59595B"/>
          <w:sz w:val="20"/>
        </w:rPr>
      </w:r>
    </w:p>
    <w:p>
      <w:pPr>
        <w:spacing w:after="120"/>
      </w:pPr>
      <w:r>
        <w:rPr>
          <w:rFonts w:ascii="Open Sans" w:hAnsi="Open Sans"/>
          <w:b w:val="0"/>
          <w:i w:val="0"/>
          <w:color w:val="59595B"/>
          <w:sz w:val="20"/>
        </w:rPr>
        <w:t>The attached Master Service Agreement (MSA-AAVA-2026) governs the renewal and contains the full Unpaid Balance Acknowledgment in Schedule A.</w:t>
      </w:r>
    </w:p>
    <w:p>
      <w:pPr>
        <w:spacing w:after="80"/>
      </w:pPr>
    </w:p>
    <w:p>
      <w:pPr>
        <w:spacing w:after="60"/>
      </w:pPr>
      <w:r>
        <w:rPr>
          <w:rFonts w:ascii="Open Sans" w:hAnsi="Open Sans"/>
          <w:b/>
          <w:i w:val="0"/>
          <w:color w:val="1A1A2E"/>
          <w:sz w:val="20"/>
        </w:rPr>
        <w:t>2. Sign and return the MSA before April 30, 2026.</w:t>
      </w:r>
      <w:r>
        <w:rPr>
          <w:rFonts w:ascii="Open Sans" w:hAnsi="Open Sans"/>
          <w:b w:val="0"/>
          <w:i w:val="0"/>
          <w:color w:val="59595B"/>
          <w:sz w:val="20"/>
        </w:rPr>
      </w:r>
    </w:p>
    <w:p>
      <w:pPr>
        <w:spacing w:after="120"/>
      </w:pPr>
      <w:r>
        <w:rPr>
          <w:rFonts w:ascii="Open Sans" w:hAnsi="Open Sans"/>
          <w:b w:val="0"/>
          <w:i w:val="0"/>
          <w:color w:val="59595B"/>
          <w:sz w:val="20"/>
        </w:rPr>
        <w:t>This ensures uninterrupted service and the new pricing takes effect with the May 2026 invoice.</w:t>
      </w:r>
    </w:p>
    <w:p>
      <w:pPr>
        <w:spacing w:after="80"/>
      </w:pPr>
    </w:p>
    <w:p>
      <w:pPr>
        <w:spacing w:after="60"/>
      </w:pPr>
      <w:r>
        <w:rPr>
          <w:rFonts w:ascii="Open Sans" w:hAnsi="Open Sans"/>
          <w:b/>
          <w:i w:val="0"/>
          <w:color w:val="1A1A2E"/>
          <w:sz w:val="20"/>
        </w:rPr>
        <w:t>3. Schedule a usage review after 60-90 days.</w:t>
      </w:r>
      <w:r>
        <w:rPr>
          <w:rFonts w:ascii="Open Sans" w:hAnsi="Open Sans"/>
          <w:b w:val="0"/>
          <w:i w:val="0"/>
          <w:color w:val="59595B"/>
          <w:sz w:val="20"/>
        </w:rPr>
      </w:r>
    </w:p>
    <w:p>
      <w:pPr>
        <w:spacing w:after="120"/>
      </w:pPr>
      <w:r>
        <w:rPr>
          <w:rFonts w:ascii="Open Sans" w:hAnsi="Open Sans"/>
          <w:b w:val="0"/>
          <w:i w:val="0"/>
          <w:color w:val="59595B"/>
          <w:sz w:val="20"/>
        </w:rPr>
        <w:t>Technijian will review actual support consumption versus contracted hours and work with AAVA to identify opportunities to reduce recurring support demand — the most reliable path to paying down the Unpaid Balance.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Questions</w:t>
            </w:r>
          </w:p>
        </w:tc>
      </w:tr>
    </w:tbl>
    <w:p>
      <w:pPr>
        <w:spacing w:after="120"/>
      </w:pPr>
      <w:r>
        <w:rPr>
          <w:rFonts w:ascii="Open Sans" w:hAnsi="Open Sans"/>
          <w:b w:val="0"/>
          <w:i w:val="0"/>
          <w:color w:val="59595B"/>
          <w:sz w:val="20"/>
        </w:rPr>
        <w:t>Please direct any questions about this summary, the renewal MSA, or the Unpaid Balance to Ravi Jain at rjain@technijian.com or 949.379.8499.</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