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Schedule A</w:t>
      </w:r>
    </w:p>
    <w:p>
      <w:pPr>
        <w:jc w:val="center"/>
      </w:pPr>
      <w:r>
        <w:rPr>
          <w:rFonts w:ascii="Open Sans" w:hAnsi="Open Sans"/>
          <w:b w:val="0"/>
          <w:i w:val="0"/>
          <w:color w:val="59595B"/>
          <w:sz w:val="26"/>
        </w:rPr>
        <w:t>Monthly Managed Services</w:t>
      </w:r>
    </w:p>
    <w:p>
      <w:pPr>
        <w:jc w:val="center"/>
      </w:pPr>
      <w:r>
        <w:rPr>
          <w:rFonts w:ascii="Open Sans" w:hAnsi="Open Sans"/>
          <w:b w:val="0"/>
          <w:i w:val="0"/>
          <w:color w:val="59595B"/>
          <w:sz w:val="24"/>
        </w:rPr>
        <w:t xml:space="preserve">Prepared for </w:t>
      </w:r>
      <w:r>
        <w:rPr>
          <w:rFonts w:ascii="Open Sans" w:hAnsi="Open Sans"/>
          <w:b/>
          <w:i w:val="0"/>
          <w:color w:val="006DB6"/>
          <w:sz w:val="24"/>
        </w:rPr>
        <w:t>Aventine at Aliso Viejo Apartments</w:t>
      </w:r>
    </w:p>
    <w:p>
      <w:pPr>
        <w:jc w:val="center"/>
      </w:pPr>
      <w:r>
        <w:rPr>
          <w:rFonts w:ascii="Open Sans" w:hAnsi="Open Sans"/>
          <w:b w:val="0"/>
          <w:i w:val="0"/>
          <w:color w:val="59595B"/>
          <w:sz w:val="20"/>
        </w:rPr>
        <w:t>May 1,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SCHEDULE A — MONTHLY MANAGED SERVICES</w:t>
            </w:r>
          </w:p>
        </w:tc>
      </w:tr>
    </w:tbl>
    <w:p>
      <w:pPr>
        <w:spacing w:after="80"/>
      </w:pPr>
    </w:p>
    <w:p>
      <w:pPr>
        <w:spacing w:after="120"/>
      </w:pPr>
      <w:r>
        <w:rPr>
          <w:rFonts w:ascii="Open Sans" w:hAnsi="Open Sans"/>
          <w:b w:val="0"/>
          <w:i w:val="0"/>
          <w:color w:val="59595B"/>
          <w:sz w:val="20"/>
        </w:rPr>
        <w:t>Agreement Number: MSA-AAVA-2026</w:t>
      </w:r>
    </w:p>
    <w:p>
      <w:pPr>
        <w:spacing w:after="120"/>
      </w:pPr>
      <w:r>
        <w:rPr>
          <w:rFonts w:ascii="Open Sans" w:hAnsi="Open Sans"/>
          <w:b w:val="0"/>
          <w:i w:val="0"/>
          <w:color w:val="59595B"/>
          <w:sz w:val="20"/>
        </w:rPr>
        <w:t>Effective Date: May 1, 2026</w:t>
      </w:r>
    </w:p>
    <w:p>
      <w:pPr>
        <w:spacing w:after="120"/>
      </w:pPr>
      <w:r>
        <w:rPr>
          <w:rFonts w:ascii="Open Sans" w:hAnsi="Open Sans"/>
          <w:b w:val="0"/>
          <w:i w:val="0"/>
          <w:color w:val="59595B"/>
          <w:sz w:val="20"/>
        </w:rPr>
        <w:t>Parent Agreement: Master Service Agreement between Technijian, Inc. and Aventine at Aliso Viejo Apartments</w:t>
      </w:r>
    </w:p>
    <w:p>
      <w:pPr>
        <w:spacing w:after="80"/>
      </w:pPr>
    </w:p>
    <w:p>
      <w:pPr>
        <w:spacing w:after="120"/>
      </w:pPr>
      <w:r>
        <w:rPr>
          <w:rFonts w:ascii="Open Sans" w:hAnsi="Open Sans"/>
          <w:b w:val="0"/>
          <w:i w:val="0"/>
          <w:color w:val="59595B"/>
          <w:sz w:val="20"/>
        </w:rPr>
        <w:t>This Schedule A sets forth the recurring managed services to be provided by Technijian to Aventine at Aliso Viejo Apartments under the Master Service Agreement (MSA-AAVA-2026). The total monthly investment is comprised of two parts: (1) Endpoint Security and (2) Virtual Staff Support — Contracted (Offshore Only). USA Tech Support is provided on an ad-hoc hourly basis under Schedule C and is not part of the contracted monthly amount. Capitalized terms used and not defined herein have the meanings given to them in the MSA.</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1 — Endpoint Security</w:t>
            </w:r>
          </w:p>
        </w:tc>
      </w:tr>
    </w:tbl>
    <w:p>
      <w:pPr>
        <w:spacing w:after="80"/>
      </w:pPr>
    </w:p>
    <w:p>
      <w:pPr>
        <w:spacing w:after="120"/>
      </w:pPr>
      <w:r>
        <w:rPr>
          <w:rFonts w:ascii="Open Sans" w:hAnsi="Open Sans"/>
          <w:b w:val="0"/>
          <w:i w:val="0"/>
          <w:color w:val="59595B"/>
          <w:sz w:val="20"/>
        </w:rPr>
        <w:t>Eight (8) desktops are protected under the following per-endpoint services:</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Per Unit</w:t>
            </w:r>
          </w:p>
        </w:tc>
        <w:tc>
          <w:tcPr>
            <w:tcW w:type="dxa" w:w="1872"/>
            <w:shd w:fill="006DB6" w:val="clear"/>
          </w:tcPr>
          <w:p>
            <w:r/>
            <w:r>
              <w:rPr>
                <w:rFonts w:ascii="Open Sans" w:hAnsi="Open Sans"/>
                <w:b/>
                <w:i w:val="0"/>
                <w:color w:val="FFFFFF"/>
                <w:sz w:val="18"/>
              </w:rPr>
              <w:t>Qty</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CrowdStrike Falcon EDR</w:t>
            </w:r>
          </w:p>
        </w:tc>
        <w:tc>
          <w:tcPr>
            <w:tcW w:type="dxa" w:w="1872"/>
          </w:tcPr>
          <w:p>
            <w:r/>
            <w:r>
              <w:rPr>
                <w:rFonts w:ascii="Open Sans" w:hAnsi="Open Sans"/>
                <w:b w:val="0"/>
                <w:i w:val="0"/>
                <w:color w:val="59595B"/>
                <w:sz w:val="18"/>
              </w:rPr>
              <w:t>AVD</w:t>
            </w:r>
          </w:p>
        </w:tc>
        <w:tc>
          <w:tcPr>
            <w:tcW w:type="dxa" w:w="1872"/>
          </w:tcPr>
          <w:p>
            <w:r/>
            <w:r>
              <w:rPr>
                <w:rFonts w:ascii="Open Sans" w:hAnsi="Open Sans"/>
                <w:b w:val="0"/>
                <w:i w:val="0"/>
                <w:color w:val="59595B"/>
                <w:sz w:val="18"/>
              </w:rPr>
              <w:t>$8.50/endpoint</w:t>
            </w:r>
          </w:p>
        </w:tc>
        <w:tc>
          <w:tcPr>
            <w:tcW w:type="dxa" w:w="1872"/>
          </w:tcPr>
          <w:p>
            <w:r/>
            <w:r>
              <w:rPr>
                <w:rFonts w:ascii="Open Sans" w:hAnsi="Open Sans"/>
                <w:b w:val="0"/>
                <w:i w:val="0"/>
                <w:color w:val="59595B"/>
                <w:sz w:val="18"/>
              </w:rPr>
              <w:t>8</w:t>
            </w:r>
          </w:p>
        </w:tc>
        <w:tc>
          <w:tcPr>
            <w:tcW w:type="dxa" w:w="1872"/>
          </w:tcPr>
          <w:p>
            <w:r/>
            <w:r>
              <w:rPr>
                <w:rFonts w:ascii="Open Sans" w:hAnsi="Open Sans"/>
                <w:b w:val="0"/>
                <w:i w:val="0"/>
                <w:color w:val="59595B"/>
                <w:sz w:val="18"/>
              </w:rPr>
              <w:t>$68.00</w:t>
            </w:r>
          </w:p>
        </w:tc>
      </w:tr>
      <w:tr>
        <w:tc>
          <w:tcPr>
            <w:tcW w:type="dxa" w:w="1872"/>
          </w:tcPr>
          <w:p>
            <w:r/>
            <w:r>
              <w:rPr>
                <w:rFonts w:ascii="Open Sans" w:hAnsi="Open Sans"/>
                <w:b w:val="0"/>
                <w:i w:val="0"/>
                <w:color w:val="59595B"/>
                <w:sz w:val="18"/>
              </w:rPr>
              <w:t>Huntress Managed Detection</w:t>
            </w:r>
          </w:p>
        </w:tc>
        <w:tc>
          <w:tcPr>
            <w:tcW w:type="dxa" w:w="1872"/>
          </w:tcPr>
          <w:p>
            <w:r/>
            <w:r>
              <w:rPr>
                <w:rFonts w:ascii="Open Sans" w:hAnsi="Open Sans"/>
                <w:b w:val="0"/>
                <w:i w:val="0"/>
                <w:color w:val="59595B"/>
                <w:sz w:val="18"/>
              </w:rPr>
              <w:t>AVMH</w:t>
            </w:r>
          </w:p>
        </w:tc>
        <w:tc>
          <w:tcPr>
            <w:tcW w:type="dxa" w:w="1872"/>
          </w:tcPr>
          <w:p>
            <w:r/>
            <w:r>
              <w:rPr>
                <w:rFonts w:ascii="Open Sans" w:hAnsi="Open Sans"/>
                <w:b w:val="0"/>
                <w:i w:val="0"/>
                <w:color w:val="59595B"/>
                <w:sz w:val="18"/>
              </w:rPr>
              <w:t>$6.00/endpoint</w:t>
            </w:r>
          </w:p>
        </w:tc>
        <w:tc>
          <w:tcPr>
            <w:tcW w:type="dxa" w:w="1872"/>
          </w:tcPr>
          <w:p>
            <w:r/>
            <w:r>
              <w:rPr>
                <w:rFonts w:ascii="Open Sans" w:hAnsi="Open Sans"/>
                <w:b w:val="0"/>
                <w:i w:val="0"/>
                <w:color w:val="59595B"/>
                <w:sz w:val="18"/>
              </w:rPr>
              <w:t>8</w:t>
            </w:r>
          </w:p>
        </w:tc>
        <w:tc>
          <w:tcPr>
            <w:tcW w:type="dxa" w:w="1872"/>
          </w:tcPr>
          <w:p>
            <w:r/>
            <w:r>
              <w:rPr>
                <w:rFonts w:ascii="Open Sans" w:hAnsi="Open Sans"/>
                <w:b w:val="0"/>
                <w:i w:val="0"/>
                <w:color w:val="59595B"/>
                <w:sz w:val="18"/>
              </w:rPr>
              <w:t>$48.00</w:t>
            </w:r>
          </w:p>
        </w:tc>
      </w:tr>
      <w:tr>
        <w:tc>
          <w:tcPr>
            <w:tcW w:type="dxa" w:w="1872"/>
          </w:tcPr>
          <w:p>
            <w:r/>
            <w:r>
              <w:rPr>
                <w:rFonts w:ascii="Open Sans" w:hAnsi="Open Sans"/>
                <w:b w:val="0"/>
                <w:i w:val="0"/>
                <w:color w:val="59595B"/>
                <w:sz w:val="18"/>
              </w:rPr>
              <w:t>My Secure Internet (DNS)</w:t>
            </w:r>
          </w:p>
        </w:tc>
        <w:tc>
          <w:tcPr>
            <w:tcW w:type="dxa" w:w="1872"/>
          </w:tcPr>
          <w:p>
            <w:r/>
            <w:r>
              <w:rPr>
                <w:rFonts w:ascii="Open Sans" w:hAnsi="Open Sans"/>
                <w:b w:val="0"/>
                <w:i w:val="0"/>
                <w:color w:val="59595B"/>
                <w:sz w:val="18"/>
              </w:rPr>
              <w:t>SI</w:t>
            </w:r>
          </w:p>
        </w:tc>
        <w:tc>
          <w:tcPr>
            <w:tcW w:type="dxa" w:w="1872"/>
          </w:tcPr>
          <w:p>
            <w:r/>
            <w:r>
              <w:rPr>
                <w:rFonts w:ascii="Open Sans" w:hAnsi="Open Sans"/>
                <w:b w:val="0"/>
                <w:i w:val="0"/>
                <w:color w:val="59595B"/>
                <w:sz w:val="18"/>
              </w:rPr>
              <w:t>$6.00/endpoint</w:t>
            </w:r>
          </w:p>
        </w:tc>
        <w:tc>
          <w:tcPr>
            <w:tcW w:type="dxa" w:w="1872"/>
          </w:tcPr>
          <w:p>
            <w:r/>
            <w:r>
              <w:rPr>
                <w:rFonts w:ascii="Open Sans" w:hAnsi="Open Sans"/>
                <w:b w:val="0"/>
                <w:i w:val="0"/>
                <w:color w:val="59595B"/>
                <w:sz w:val="18"/>
              </w:rPr>
              <w:t>8</w:t>
            </w:r>
          </w:p>
        </w:tc>
        <w:tc>
          <w:tcPr>
            <w:tcW w:type="dxa" w:w="1872"/>
          </w:tcPr>
          <w:p>
            <w:r/>
            <w:r>
              <w:rPr>
                <w:rFonts w:ascii="Open Sans" w:hAnsi="Open Sans"/>
                <w:b w:val="0"/>
                <w:i w:val="0"/>
                <w:color w:val="59595B"/>
                <w:sz w:val="18"/>
              </w:rPr>
              <w:t>$48.00</w:t>
            </w:r>
          </w:p>
        </w:tc>
      </w:tr>
      <w:tr>
        <w:tc>
          <w:tcPr>
            <w:tcW w:type="dxa" w:w="1872"/>
          </w:tcPr>
          <w:p>
            <w:r/>
            <w:r>
              <w:rPr>
                <w:rFonts w:ascii="Open Sans" w:hAnsi="Open Sans"/>
                <w:b w:val="0"/>
                <w:i w:val="0"/>
                <w:color w:val="59595B"/>
                <w:sz w:val="18"/>
              </w:rPr>
              <w:t>Patch Management</w:t>
            </w:r>
          </w:p>
        </w:tc>
        <w:tc>
          <w:tcPr>
            <w:tcW w:type="dxa" w:w="1872"/>
          </w:tcPr>
          <w:p>
            <w:r/>
            <w:r>
              <w:rPr>
                <w:rFonts w:ascii="Open Sans" w:hAnsi="Open Sans"/>
                <w:b w:val="0"/>
                <w:i w:val="0"/>
                <w:color w:val="59595B"/>
                <w:sz w:val="18"/>
              </w:rPr>
              <w:t>PMW</w:t>
            </w:r>
          </w:p>
        </w:tc>
        <w:tc>
          <w:tcPr>
            <w:tcW w:type="dxa" w:w="1872"/>
          </w:tcPr>
          <w:p>
            <w:r/>
            <w:r>
              <w:rPr>
                <w:rFonts w:ascii="Open Sans" w:hAnsi="Open Sans"/>
                <w:b w:val="0"/>
                <w:i w:val="0"/>
                <w:color w:val="59595B"/>
                <w:sz w:val="18"/>
              </w:rPr>
              <w:t>$4.00/endpoint</w:t>
            </w:r>
          </w:p>
        </w:tc>
        <w:tc>
          <w:tcPr>
            <w:tcW w:type="dxa" w:w="1872"/>
          </w:tcPr>
          <w:p>
            <w:r/>
            <w:r>
              <w:rPr>
                <w:rFonts w:ascii="Open Sans" w:hAnsi="Open Sans"/>
                <w:b w:val="0"/>
                <w:i w:val="0"/>
                <w:color w:val="59595B"/>
                <w:sz w:val="18"/>
              </w:rPr>
              <w:t>8</w:t>
            </w:r>
          </w:p>
        </w:tc>
        <w:tc>
          <w:tcPr>
            <w:tcW w:type="dxa" w:w="1872"/>
          </w:tcPr>
          <w:p>
            <w:r/>
            <w:r>
              <w:rPr>
                <w:rFonts w:ascii="Open Sans" w:hAnsi="Open Sans"/>
                <w:b w:val="0"/>
                <w:i w:val="0"/>
                <w:color w:val="59595B"/>
                <w:sz w:val="18"/>
              </w:rPr>
              <w:t>$32.00</w:t>
            </w:r>
          </w:p>
        </w:tc>
      </w:tr>
      <w:tr>
        <w:tc>
          <w:tcPr>
            <w:tcW w:type="dxa" w:w="1872"/>
          </w:tcPr>
          <w:p>
            <w:r/>
            <w:r>
              <w:rPr>
                <w:rFonts w:ascii="Open Sans" w:hAnsi="Open Sans"/>
                <w:b w:val="0"/>
                <w:i w:val="0"/>
                <w:color w:val="59595B"/>
                <w:sz w:val="18"/>
              </w:rPr>
              <w:t>My Remote (ScreenConnect)</w:t>
            </w:r>
          </w:p>
        </w:tc>
        <w:tc>
          <w:tcPr>
            <w:tcW w:type="dxa" w:w="1872"/>
          </w:tcPr>
          <w:p>
            <w:r/>
            <w:r>
              <w:rPr>
                <w:rFonts w:ascii="Open Sans" w:hAnsi="Open Sans"/>
                <w:b w:val="0"/>
                <w:i w:val="0"/>
                <w:color w:val="59595B"/>
                <w:sz w:val="18"/>
              </w:rPr>
              <w:t>MR</w:t>
            </w:r>
          </w:p>
        </w:tc>
        <w:tc>
          <w:tcPr>
            <w:tcW w:type="dxa" w:w="1872"/>
          </w:tcPr>
          <w:p>
            <w:r/>
            <w:r>
              <w:rPr>
                <w:rFonts w:ascii="Open Sans" w:hAnsi="Open Sans"/>
                <w:b w:val="0"/>
                <w:i w:val="0"/>
                <w:color w:val="59595B"/>
                <w:sz w:val="18"/>
              </w:rPr>
              <w:t>$2.00/endpoint</w:t>
            </w:r>
          </w:p>
        </w:tc>
        <w:tc>
          <w:tcPr>
            <w:tcW w:type="dxa" w:w="1872"/>
          </w:tcPr>
          <w:p>
            <w:r/>
            <w:r>
              <w:rPr>
                <w:rFonts w:ascii="Open Sans" w:hAnsi="Open Sans"/>
                <w:b w:val="0"/>
                <w:i w:val="0"/>
                <w:color w:val="59595B"/>
                <w:sz w:val="18"/>
              </w:rPr>
              <w:t>8</w:t>
            </w:r>
          </w:p>
        </w:tc>
        <w:tc>
          <w:tcPr>
            <w:tcW w:type="dxa" w:w="1872"/>
          </w:tcPr>
          <w:p>
            <w:r/>
            <w:r>
              <w:rPr>
                <w:rFonts w:ascii="Open Sans" w:hAnsi="Open Sans"/>
                <w:b w:val="0"/>
                <w:i w:val="0"/>
                <w:color w:val="59595B"/>
                <w:sz w:val="18"/>
              </w:rPr>
              <w:t>$16.00</w:t>
            </w:r>
          </w:p>
        </w:tc>
      </w:tr>
      <w:tr>
        <w:tc>
          <w:tcPr>
            <w:tcW w:type="dxa" w:w="1872"/>
            <w:shd w:fill="F8F9FA" w:val="clear"/>
          </w:tcPr>
          <w:p>
            <w:r/>
            <w:r>
              <w:rPr>
                <w:rFonts w:ascii="Open Sans" w:hAnsi="Open Sans"/>
                <w:b/>
                <w:i w:val="0"/>
                <w:color w:val="1A1A2E"/>
                <w:sz w:val="18"/>
              </w:rPr>
              <w:t>Subtotal — Endpoint Security</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8 endpoints</w:t>
            </w:r>
          </w:p>
        </w:tc>
        <w:tc>
          <w:tcPr>
            <w:tcW w:type="dxa" w:w="1872"/>
            <w:shd w:fill="F8F9FA" w:val="clear"/>
          </w:tcPr>
          <w:p>
            <w:r/>
            <w:r>
              <w:rPr>
                <w:rFonts w:ascii="Open Sans" w:hAnsi="Open Sans"/>
                <w:b/>
                <w:i w:val="0"/>
                <w:color w:val="1A1A2E"/>
                <w:sz w:val="18"/>
              </w:rPr>
              <w:t>$212.00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2 — Virtual Staff Support — Contracted (Offshore Only)</w:t>
            </w:r>
          </w:p>
        </w:tc>
      </w:tr>
    </w:tbl>
    <w:p>
      <w:pPr>
        <w:spacing w:after="80"/>
      </w:pPr>
    </w:p>
    <w:p>
      <w:pPr>
        <w:spacing w:after="120"/>
      </w:pPr>
      <w:r>
        <w:rPr>
          <w:rFonts w:ascii="Open Sans" w:hAnsi="Open Sans"/>
          <w:b w:val="0"/>
          <w:i w:val="0"/>
          <w:color w:val="59595B"/>
          <w:sz w:val="20"/>
        </w:rPr>
        <w:t>Contracted hours are held at the same levels as the prior Client Monthly Service Agreement. Client’s current actual usage exceeds these contracted hours, which means any excess hours worked each month accrue to the Unpaid Balance described below and remain payable per the terms of this Agreement.</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Role</w:t>
            </w:r>
          </w:p>
        </w:tc>
        <w:tc>
          <w:tcPr>
            <w:tcW w:type="dxa" w:w="2340"/>
            <w:shd w:fill="006DB6" w:val="clear"/>
          </w:tcPr>
          <w:p>
            <w:r/>
            <w:r>
              <w:rPr>
                <w:rFonts w:ascii="Open Sans" w:hAnsi="Open Sans"/>
                <w:b/>
                <w:i w:val="0"/>
                <w:color w:val="FFFFFF"/>
                <w:sz w:val="18"/>
              </w:rPr>
              <w:t>Contracted (hrs)</w:t>
            </w:r>
          </w:p>
        </w:tc>
        <w:tc>
          <w:tcPr>
            <w:tcW w:type="dxa" w:w="2340"/>
            <w:shd w:fill="006DB6" w:val="clear"/>
          </w:tcPr>
          <w:p>
            <w:r/>
            <w:r>
              <w:rPr>
                <w:rFonts w:ascii="Open Sans" w:hAnsi="Open Sans"/>
                <w:b/>
                <w:i w:val="0"/>
                <w:color w:val="FFFFFF"/>
                <w:sz w:val="18"/>
              </w:rPr>
              <w:t>Rate</w:t>
            </w:r>
          </w:p>
        </w:tc>
        <w:tc>
          <w:tcPr>
            <w:tcW w:type="dxa" w:w="2340"/>
            <w:shd w:fill="006DB6" w:val="clear"/>
          </w:tcPr>
          <w:p>
            <w:r/>
            <w:r>
              <w:rPr>
                <w:rFonts w:ascii="Open Sans" w:hAnsi="Open Sans"/>
                <w:b/>
                <w:i w:val="0"/>
                <w:color w:val="FFFFFF"/>
                <w:sz w:val="18"/>
              </w:rPr>
              <w:t>Monthly</w:t>
            </w:r>
          </w:p>
        </w:tc>
      </w:tr>
      <w:tr>
        <w:tc>
          <w:tcPr>
            <w:tcW w:type="dxa" w:w="2340"/>
          </w:tcPr>
          <w:p>
            <w:r/>
            <w:r>
              <w:rPr>
                <w:rFonts w:ascii="Open Sans" w:hAnsi="Open Sans"/>
                <w:b w:val="0"/>
                <w:i w:val="0"/>
                <w:color w:val="59595B"/>
                <w:sz w:val="18"/>
              </w:rPr>
              <w:t>India Tech — Normal Hours</w:t>
            </w:r>
          </w:p>
        </w:tc>
        <w:tc>
          <w:tcPr>
            <w:tcW w:type="dxa" w:w="2340"/>
          </w:tcPr>
          <w:p>
            <w:r/>
            <w:r>
              <w:rPr>
                <w:rFonts w:ascii="Open Sans" w:hAnsi="Open Sans"/>
                <w:b w:val="0"/>
                <w:i w:val="0"/>
                <w:color w:val="59595B"/>
                <w:sz w:val="18"/>
              </w:rPr>
              <w:t>4.55</w:t>
            </w:r>
          </w:p>
        </w:tc>
        <w:tc>
          <w:tcPr>
            <w:tcW w:type="dxa" w:w="2340"/>
          </w:tcPr>
          <w:p>
            <w:r/>
            <w:r>
              <w:rPr>
                <w:rFonts w:ascii="Open Sans" w:hAnsi="Open Sans"/>
                <w:b w:val="0"/>
                <w:i w:val="0"/>
                <w:color w:val="59595B"/>
                <w:sz w:val="18"/>
              </w:rPr>
              <w:t>$15/hr</w:t>
            </w:r>
          </w:p>
        </w:tc>
        <w:tc>
          <w:tcPr>
            <w:tcW w:type="dxa" w:w="2340"/>
          </w:tcPr>
          <w:p>
            <w:r/>
            <w:r>
              <w:rPr>
                <w:rFonts w:ascii="Open Sans" w:hAnsi="Open Sans"/>
                <w:b w:val="0"/>
                <w:i w:val="0"/>
                <w:color w:val="59595B"/>
                <w:sz w:val="18"/>
              </w:rPr>
              <w:t>$68.25</w:t>
            </w:r>
          </w:p>
        </w:tc>
      </w:tr>
      <w:tr>
        <w:tc>
          <w:tcPr>
            <w:tcW w:type="dxa" w:w="2340"/>
          </w:tcPr>
          <w:p>
            <w:r/>
            <w:r>
              <w:rPr>
                <w:rFonts w:ascii="Open Sans" w:hAnsi="Open Sans"/>
                <w:b w:val="0"/>
                <w:i w:val="0"/>
                <w:color w:val="59595B"/>
                <w:sz w:val="18"/>
              </w:rPr>
              <w:t>India Tech — After Hours</w:t>
            </w:r>
          </w:p>
        </w:tc>
        <w:tc>
          <w:tcPr>
            <w:tcW w:type="dxa" w:w="2340"/>
          </w:tcPr>
          <w:p>
            <w:r/>
            <w:r>
              <w:rPr>
                <w:rFonts w:ascii="Open Sans" w:hAnsi="Open Sans"/>
                <w:b w:val="0"/>
                <w:i w:val="0"/>
                <w:color w:val="59595B"/>
                <w:sz w:val="18"/>
              </w:rPr>
              <w:t>1.77</w:t>
            </w:r>
          </w:p>
        </w:tc>
        <w:tc>
          <w:tcPr>
            <w:tcW w:type="dxa" w:w="2340"/>
          </w:tcPr>
          <w:p>
            <w:r/>
            <w:r>
              <w:rPr>
                <w:rFonts w:ascii="Open Sans" w:hAnsi="Open Sans"/>
                <w:b w:val="0"/>
                <w:i w:val="0"/>
                <w:color w:val="59595B"/>
                <w:sz w:val="18"/>
              </w:rPr>
              <w:t>$30/hr</w:t>
            </w:r>
          </w:p>
        </w:tc>
        <w:tc>
          <w:tcPr>
            <w:tcW w:type="dxa" w:w="2340"/>
          </w:tcPr>
          <w:p>
            <w:r/>
            <w:r>
              <w:rPr>
                <w:rFonts w:ascii="Open Sans" w:hAnsi="Open Sans"/>
                <w:b w:val="0"/>
                <w:i w:val="0"/>
                <w:color w:val="59595B"/>
                <w:sz w:val="18"/>
              </w:rPr>
              <w:t>$53.10</w:t>
            </w:r>
          </w:p>
        </w:tc>
      </w:tr>
      <w:tr>
        <w:tc>
          <w:tcPr>
            <w:tcW w:type="dxa" w:w="2340"/>
            <w:shd w:fill="F8F9FA" w:val="clear"/>
          </w:tcPr>
          <w:p>
            <w:r/>
            <w:r>
              <w:rPr>
                <w:rFonts w:ascii="Open Sans" w:hAnsi="Open Sans"/>
                <w:b/>
                <w:i w:val="0"/>
                <w:color w:val="1A1A2E"/>
                <w:sz w:val="18"/>
              </w:rPr>
              <w:t>Subtotal — Virtual Staff Support</w:t>
            </w:r>
          </w:p>
        </w:tc>
        <w:tc>
          <w:tcPr>
            <w:tcW w:type="dxa" w:w="2340"/>
            <w:shd w:fill="F8F9FA" w:val="clear"/>
          </w:tcPr>
          <w:p>
            <w:r/>
            <w:r>
              <w:rPr>
                <w:rFonts w:ascii="Open Sans" w:hAnsi="Open Sans"/>
                <w:b/>
                <w:i w:val="0"/>
                <w:color w:val="1A1A2E"/>
                <w:sz w:val="18"/>
              </w:rPr>
              <w:t>6.32</w:t>
            </w:r>
          </w:p>
        </w:tc>
        <w:tc>
          <w:tcPr>
            <w:tcW w:type="dxa" w:w="2340"/>
            <w:shd w:fill="F8F9FA" w:val="clear"/>
          </w:tcPr>
          <w:p>
            <w:r/>
            <w:r>
              <w:rPr>
                <w:rFonts w:ascii="Open Sans" w:hAnsi="Open Sans"/>
                <w:b/>
                <w:i w:val="0"/>
                <w:color w:val="1A1A2E"/>
                <w:sz w:val="18"/>
              </w:rPr>
            </w:r>
          </w:p>
        </w:tc>
        <w:tc>
          <w:tcPr>
            <w:tcW w:type="dxa" w:w="2340"/>
            <w:shd w:fill="F8F9FA" w:val="clear"/>
          </w:tcPr>
          <w:p>
            <w:r/>
            <w:r>
              <w:rPr>
                <w:rFonts w:ascii="Open Sans" w:hAnsi="Open Sans"/>
                <w:b/>
                <w:i w:val="0"/>
                <w:color w:val="1A1A2E"/>
                <w:sz w:val="18"/>
              </w:rPr>
              <w:t>$121.35</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UNPAID BALANCE ACKNOWLEDGMENT</w:t>
            </w:r>
          </w:p>
        </w:tc>
      </w:tr>
    </w:tbl>
    <w:p>
      <w:pPr>
        <w:spacing w:after="80"/>
      </w:pPr>
    </w:p>
    <w:p>
      <w:pPr>
        <w:spacing w:after="120"/>
      </w:pPr>
      <w:r>
        <w:rPr>
          <w:rFonts w:ascii="Open Sans" w:hAnsi="Open Sans"/>
          <w:b w:val="0"/>
          <w:i w:val="0"/>
          <w:color w:val="59595B"/>
          <w:sz w:val="20"/>
        </w:rPr>
        <w:t>The Parties acknowledge that as of the Effective Date of this Agreement, Client has an accumulated unpaid support hours balance of 56.70 hours (40.41 India Tech Normal + 16.29 India Tech After-Hours) from the prior Client Monthly Service Agreement, representing $1,094.85 in deferred support fees. This Unpaid Balance carries forward under this Agreement and remains payable by Client.</w:t>
      </w:r>
    </w:p>
    <w:p>
      <w:pPr>
        <w:spacing w:after="80"/>
      </w:pPr>
    </w:p>
    <w:p>
      <w:pPr>
        <w:spacing w:after="120"/>
      </w:pPr>
      <w:r>
        <w:rPr>
          <w:rFonts w:ascii="Open Sans" w:hAnsi="Open Sans"/>
          <w:b w:val="0"/>
          <w:i w:val="0"/>
          <w:color w:val="59595B"/>
          <w:sz w:val="20"/>
        </w:rPr>
        <w:t>Based on the prior three (3) months’ actual usage (India Tech Normal averaging 9.91 hrs/month and India Tech After-Hours averaging 2.38 hrs/month), Client’s actual monthly support usage exceeds the contracted hours in Part 2 by approximately 5.36 India Normal hours and 0.61 India After-Hours hours per month. Accordingly, the Unpaid Balance is expected to continue growing at an estimated rate of approximately $98.70 per month (5.36 hrs × $15/hr + 0.61 hrs × $30/hr) unless actual usage decreases or Client elects to increase the contracted hours in a written amendment to this Agreement.</w:t>
      </w:r>
    </w:p>
    <w:p>
      <w:pPr>
        <w:spacing w:after="80"/>
      </w:pPr>
    </w:p>
    <w:p>
      <w:pPr>
        <w:spacing w:after="120"/>
      </w:pPr>
      <w:r>
        <w:rPr>
          <w:rFonts w:ascii="Open Sans" w:hAnsi="Open Sans"/>
          <w:b w:val="0"/>
          <w:i w:val="0"/>
          <w:color w:val="59595B"/>
          <w:sz w:val="20"/>
        </w:rPr>
        <w:t>The Unpaid Balance, including any growth during the Initial Term, shall be billed at the rates set forth in Schedule C (Rate Card) upon termination or non-renewal of this Agreement per Section 2.05(a) and shall be due before the Agreement is fully terminated. Client may elect at any time, by written notice to Technijian, to increase the contracted hours in Schedule A, Part 2 in order to reduce or eliminate growth of the Unpaid Balance.</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Component</w:t>
            </w:r>
          </w:p>
        </w:tc>
        <w:tc>
          <w:tcPr>
            <w:tcW w:type="dxa" w:w="2340"/>
            <w:shd w:fill="006DB6" w:val="clear"/>
          </w:tcPr>
          <w:p>
            <w:r/>
            <w:r>
              <w:rPr>
                <w:rFonts w:ascii="Open Sans" w:hAnsi="Open Sans"/>
                <w:b/>
                <w:i w:val="0"/>
                <w:color w:val="FFFFFF"/>
                <w:sz w:val="18"/>
              </w:rPr>
              <w:t>Hours</w:t>
            </w:r>
          </w:p>
        </w:tc>
        <w:tc>
          <w:tcPr>
            <w:tcW w:type="dxa" w:w="2340"/>
            <w:shd w:fill="006DB6" w:val="clear"/>
          </w:tcPr>
          <w:p>
            <w:r/>
            <w:r>
              <w:rPr>
                <w:rFonts w:ascii="Open Sans" w:hAnsi="Open Sans"/>
                <w:b/>
                <w:i w:val="0"/>
                <w:color w:val="FFFFFF"/>
                <w:sz w:val="18"/>
              </w:rPr>
              <w:t>Rate</w:t>
            </w:r>
          </w:p>
        </w:tc>
        <w:tc>
          <w:tcPr>
            <w:tcW w:type="dxa" w:w="2340"/>
            <w:shd w:fill="006DB6" w:val="clear"/>
          </w:tcPr>
          <w:p>
            <w:r/>
            <w:r>
              <w:rPr>
                <w:rFonts w:ascii="Open Sans" w:hAnsi="Open Sans"/>
                <w:b/>
                <w:i w:val="0"/>
                <w:color w:val="FFFFFF"/>
                <w:sz w:val="18"/>
              </w:rPr>
              <w:t>Amount</w:t>
            </w:r>
          </w:p>
        </w:tc>
      </w:tr>
      <w:tr>
        <w:tc>
          <w:tcPr>
            <w:tcW w:type="dxa" w:w="2340"/>
          </w:tcPr>
          <w:p>
            <w:r/>
            <w:r>
              <w:rPr>
                <w:rFonts w:ascii="Open Sans" w:hAnsi="Open Sans"/>
                <w:b w:val="0"/>
                <w:i w:val="0"/>
                <w:color w:val="59595B"/>
                <w:sz w:val="18"/>
              </w:rPr>
              <w:t>India Tech — Normal Hours (unpaid)</w:t>
            </w:r>
          </w:p>
        </w:tc>
        <w:tc>
          <w:tcPr>
            <w:tcW w:type="dxa" w:w="2340"/>
          </w:tcPr>
          <w:p>
            <w:r/>
            <w:r>
              <w:rPr>
                <w:rFonts w:ascii="Open Sans" w:hAnsi="Open Sans"/>
                <w:b w:val="0"/>
                <w:i w:val="0"/>
                <w:color w:val="59595B"/>
                <w:sz w:val="18"/>
              </w:rPr>
              <w:t>40.41</w:t>
            </w:r>
          </w:p>
        </w:tc>
        <w:tc>
          <w:tcPr>
            <w:tcW w:type="dxa" w:w="2340"/>
          </w:tcPr>
          <w:p>
            <w:r/>
            <w:r>
              <w:rPr>
                <w:rFonts w:ascii="Open Sans" w:hAnsi="Open Sans"/>
                <w:b w:val="0"/>
                <w:i w:val="0"/>
                <w:color w:val="59595B"/>
                <w:sz w:val="18"/>
              </w:rPr>
              <w:t>$15/hr</w:t>
            </w:r>
          </w:p>
        </w:tc>
        <w:tc>
          <w:tcPr>
            <w:tcW w:type="dxa" w:w="2340"/>
          </w:tcPr>
          <w:p>
            <w:r/>
            <w:r>
              <w:rPr>
                <w:rFonts w:ascii="Open Sans" w:hAnsi="Open Sans"/>
                <w:b w:val="0"/>
                <w:i w:val="0"/>
                <w:color w:val="59595B"/>
                <w:sz w:val="18"/>
              </w:rPr>
              <w:t>$606.15</w:t>
            </w:r>
          </w:p>
        </w:tc>
      </w:tr>
      <w:tr>
        <w:tc>
          <w:tcPr>
            <w:tcW w:type="dxa" w:w="2340"/>
          </w:tcPr>
          <w:p>
            <w:r/>
            <w:r>
              <w:rPr>
                <w:rFonts w:ascii="Open Sans" w:hAnsi="Open Sans"/>
                <w:b w:val="0"/>
                <w:i w:val="0"/>
                <w:color w:val="59595B"/>
                <w:sz w:val="18"/>
              </w:rPr>
              <w:t>India Tech — After-Hours (unpaid)</w:t>
            </w:r>
          </w:p>
        </w:tc>
        <w:tc>
          <w:tcPr>
            <w:tcW w:type="dxa" w:w="2340"/>
          </w:tcPr>
          <w:p>
            <w:r/>
            <w:r>
              <w:rPr>
                <w:rFonts w:ascii="Open Sans" w:hAnsi="Open Sans"/>
                <w:b w:val="0"/>
                <w:i w:val="0"/>
                <w:color w:val="59595B"/>
                <w:sz w:val="18"/>
              </w:rPr>
              <w:t>16.29</w:t>
            </w:r>
          </w:p>
        </w:tc>
        <w:tc>
          <w:tcPr>
            <w:tcW w:type="dxa" w:w="2340"/>
          </w:tcPr>
          <w:p>
            <w:r/>
            <w:r>
              <w:rPr>
                <w:rFonts w:ascii="Open Sans" w:hAnsi="Open Sans"/>
                <w:b w:val="0"/>
                <w:i w:val="0"/>
                <w:color w:val="59595B"/>
                <w:sz w:val="18"/>
              </w:rPr>
              <w:t>$30/hr</w:t>
            </w:r>
          </w:p>
        </w:tc>
        <w:tc>
          <w:tcPr>
            <w:tcW w:type="dxa" w:w="2340"/>
          </w:tcPr>
          <w:p>
            <w:r/>
            <w:r>
              <w:rPr>
                <w:rFonts w:ascii="Open Sans" w:hAnsi="Open Sans"/>
                <w:b w:val="0"/>
                <w:i w:val="0"/>
                <w:color w:val="59595B"/>
                <w:sz w:val="18"/>
              </w:rPr>
              <w:t>$488.70</w:t>
            </w:r>
          </w:p>
        </w:tc>
      </w:tr>
      <w:tr>
        <w:tc>
          <w:tcPr>
            <w:tcW w:type="dxa" w:w="2340"/>
            <w:shd w:fill="F8F9FA" w:val="clear"/>
          </w:tcPr>
          <w:p>
            <w:r/>
            <w:r>
              <w:rPr>
                <w:rFonts w:ascii="Open Sans" w:hAnsi="Open Sans"/>
                <w:b/>
                <w:i w:val="0"/>
                <w:color w:val="1A1A2E"/>
                <w:sz w:val="18"/>
              </w:rPr>
              <w:t>Total Unpaid Balance (carry-forward)</w:t>
            </w:r>
          </w:p>
        </w:tc>
        <w:tc>
          <w:tcPr>
            <w:tcW w:type="dxa" w:w="2340"/>
            <w:shd w:fill="F8F9FA" w:val="clear"/>
          </w:tcPr>
          <w:p>
            <w:r/>
            <w:r>
              <w:rPr>
                <w:rFonts w:ascii="Open Sans" w:hAnsi="Open Sans"/>
                <w:b/>
                <w:i w:val="0"/>
                <w:color w:val="1A1A2E"/>
                <w:sz w:val="18"/>
              </w:rPr>
              <w:t>56.70</w:t>
            </w:r>
          </w:p>
        </w:tc>
        <w:tc>
          <w:tcPr>
            <w:tcW w:type="dxa" w:w="2340"/>
            <w:shd w:fill="F8F9FA" w:val="clear"/>
          </w:tcPr>
          <w:p>
            <w:r/>
            <w:r>
              <w:rPr>
                <w:rFonts w:ascii="Open Sans" w:hAnsi="Open Sans"/>
                <w:b/>
                <w:i w:val="0"/>
                <w:color w:val="1A1A2E"/>
                <w:sz w:val="18"/>
              </w:rPr>
            </w:r>
          </w:p>
        </w:tc>
        <w:tc>
          <w:tcPr>
            <w:tcW w:type="dxa" w:w="2340"/>
            <w:shd w:fill="F8F9FA" w:val="clear"/>
          </w:tcPr>
          <w:p>
            <w:r/>
            <w:r>
              <w:rPr>
                <w:rFonts w:ascii="Open Sans" w:hAnsi="Open Sans"/>
                <w:b/>
                <w:i w:val="0"/>
                <w:color w:val="1A1A2E"/>
                <w:sz w:val="18"/>
              </w:rPr>
              <w:t>$1,094.85</w:t>
            </w:r>
          </w:p>
        </w:tc>
      </w:tr>
      <w:tr>
        <w:tc>
          <w:tcPr>
            <w:tcW w:type="dxa" w:w="2340"/>
          </w:tcPr>
          <w:p>
            <w:r/>
            <w:r>
              <w:rPr>
                <w:rFonts w:ascii="Open Sans" w:hAnsi="Open Sans"/>
                <w:b w:val="0"/>
                <w:i w:val="0"/>
                <w:color w:val="59595B"/>
                <w:sz w:val="18"/>
              </w:rPr>
              <w:t>Projected Monthly Growth</w:t>
            </w:r>
          </w:p>
        </w:tc>
        <w:tc>
          <w:tcPr>
            <w:tcW w:type="dxa" w:w="2340"/>
          </w:tcPr>
          <w:p>
            <w:r/>
            <w:r>
              <w:rPr>
                <w:rFonts w:ascii="Open Sans" w:hAnsi="Open Sans"/>
                <w:b w:val="0"/>
                <w:i w:val="0"/>
                <w:color w:val="59595B"/>
                <w:sz w:val="18"/>
              </w:rPr>
              <w:t>5.97</w:t>
            </w:r>
          </w:p>
        </w:tc>
        <w:tc>
          <w:tcPr>
            <w:tcW w:type="dxa" w:w="2340"/>
          </w:tcPr>
          <w:p>
            <w:r/>
            <w:r>
              <w:rPr>
                <w:rFonts w:ascii="Open Sans" w:hAnsi="Open Sans"/>
                <w:b w:val="0"/>
                <w:i w:val="0"/>
                <w:color w:val="59595B"/>
                <w:sz w:val="18"/>
              </w:rPr>
            </w:r>
          </w:p>
        </w:tc>
        <w:tc>
          <w:tcPr>
            <w:tcW w:type="dxa" w:w="2340"/>
          </w:tcPr>
          <w:p>
            <w:r/>
            <w:r>
              <w:rPr>
                <w:rFonts w:ascii="Open Sans" w:hAnsi="Open Sans"/>
                <w:b w:val="0"/>
                <w:i w:val="0"/>
                <w:color w:val="59595B"/>
                <w:sz w:val="18"/>
              </w:rPr>
              <w:t>$98.70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3 — USA Tech Support (Hourly — Ad-Hoc)</w:t>
            </w:r>
          </w:p>
        </w:tc>
      </w:tr>
    </w:tbl>
    <w:p>
      <w:pPr>
        <w:spacing w:after="80"/>
      </w:pPr>
    </w:p>
    <w:p>
      <w:pPr>
        <w:spacing w:after="120"/>
      </w:pPr>
      <w:r>
        <w:rPr>
          <w:rFonts w:ascii="Open Sans" w:hAnsi="Open Sans"/>
          <w:b w:val="0"/>
          <w:i w:val="0"/>
          <w:color w:val="59595B"/>
          <w:sz w:val="20"/>
        </w:rPr>
        <w:t>USA Tech Support is NOT part of the monthly contracted amount under this renewal Agreement. When USA-based support is required, it is billed on an ad-hoc hourly basis at the rates set forth in Schedule C (Rate Card):</w:t>
      </w:r>
    </w:p>
    <w:p>
      <w:pPr>
        <w:pStyle w:val="ListBullet"/>
        <w:spacing w:after="40"/>
      </w:pPr>
      <w:r>
        <w:rPr>
          <w:rFonts w:ascii="Open Sans" w:hAnsi="Open Sans"/>
          <w:b w:val="0"/>
          <w:i w:val="0"/>
          <w:color w:val="59595B"/>
          <w:sz w:val="20"/>
        </w:rPr>
        <w:t>$150/hr — Normal Business Hours</w:t>
      </w:r>
    </w:p>
    <w:p>
      <w:pPr>
        <w:pStyle w:val="ListBullet"/>
        <w:spacing w:after="40"/>
      </w:pPr>
      <w:r>
        <w:rPr>
          <w:rFonts w:ascii="Open Sans" w:hAnsi="Open Sans"/>
          <w:b w:val="0"/>
          <w:i w:val="0"/>
          <w:color w:val="59595B"/>
          <w:sz w:val="20"/>
        </w:rPr>
        <w:t>$200/hr — After-Hours</w:t>
      </w:r>
    </w:p>
    <w:p>
      <w:pPr>
        <w:pStyle w:val="ListBullet"/>
        <w:spacing w:after="40"/>
      </w:pPr>
      <w:r>
        <w:rPr>
          <w:rFonts w:ascii="Open Sans" w:hAnsi="Open Sans"/>
          <w:b w:val="0"/>
          <w:i w:val="0"/>
          <w:color w:val="59595B"/>
          <w:sz w:val="20"/>
        </w:rPr>
        <w:t>Two (2) hour minimum per engagement; 15-minute increments thereafter</w:t>
      </w:r>
    </w:p>
    <w:p>
      <w:pPr>
        <w:spacing w:after="80"/>
      </w:pPr>
    </w:p>
    <w:p>
      <w:pPr>
        <w:spacing w:after="120"/>
      </w:pPr>
      <w:r>
        <w:rPr>
          <w:rFonts w:ascii="Open Sans" w:hAnsi="Open Sans"/>
          <w:b w:val="0"/>
          <w:i w:val="0"/>
          <w:color w:val="59595B"/>
          <w:sz w:val="20"/>
        </w:rPr>
        <w:t>Ad-hoc USA Tech Support hours are invoiced on the Weekly Out-of-Contract Invoice described in Section 3.02(c) and are reported with full ticket-level detail.</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Monthly Investment Summary</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4680"/>
        <w:gridCol w:w="4680"/>
      </w:tblGrid>
      <w:tr>
        <w:tc>
          <w:tcPr>
            <w:tcW w:type="dxa" w:w="4680"/>
            <w:shd w:fill="006DB6" w:val="clear"/>
          </w:tcPr>
          <w:p>
            <w:r/>
            <w:r>
              <w:rPr>
                <w:rFonts w:ascii="Open Sans" w:hAnsi="Open Sans"/>
                <w:b/>
                <w:i w:val="0"/>
                <w:color w:val="FFFFFF"/>
                <w:sz w:val="18"/>
              </w:rPr>
              <w:t>Category</w:t>
            </w:r>
          </w:p>
        </w:tc>
        <w:tc>
          <w:tcPr>
            <w:tcW w:type="dxa" w:w="4680"/>
            <w:shd w:fill="006DB6" w:val="clear"/>
          </w:tcPr>
          <w:p>
            <w:r/>
            <w:r>
              <w:rPr>
                <w:rFonts w:ascii="Open Sans" w:hAnsi="Open Sans"/>
                <w:b/>
                <w:i w:val="0"/>
                <w:color w:val="FFFFFF"/>
                <w:sz w:val="18"/>
              </w:rPr>
              <w:t>Monthly</w:t>
            </w:r>
          </w:p>
        </w:tc>
      </w:tr>
      <w:tr>
        <w:tc>
          <w:tcPr>
            <w:tcW w:type="dxa" w:w="4680"/>
          </w:tcPr>
          <w:p>
            <w:r/>
            <w:r>
              <w:rPr>
                <w:rFonts w:ascii="Open Sans" w:hAnsi="Open Sans"/>
                <w:b w:val="0"/>
                <w:i w:val="0"/>
                <w:color w:val="59595B"/>
                <w:sz w:val="18"/>
              </w:rPr>
              <w:t>Endpoint Security (8 desktops)</w:t>
            </w:r>
          </w:p>
        </w:tc>
        <w:tc>
          <w:tcPr>
            <w:tcW w:type="dxa" w:w="4680"/>
          </w:tcPr>
          <w:p>
            <w:r/>
            <w:r>
              <w:rPr>
                <w:rFonts w:ascii="Open Sans" w:hAnsi="Open Sans"/>
                <w:b w:val="0"/>
                <w:i w:val="0"/>
                <w:color w:val="59595B"/>
                <w:sz w:val="18"/>
              </w:rPr>
              <w:t>$212.00</w:t>
            </w:r>
          </w:p>
        </w:tc>
      </w:tr>
      <w:tr>
        <w:tc>
          <w:tcPr>
            <w:tcW w:type="dxa" w:w="4680"/>
          </w:tcPr>
          <w:p>
            <w:r/>
            <w:r>
              <w:rPr>
                <w:rFonts w:ascii="Open Sans" w:hAnsi="Open Sans"/>
                <w:b w:val="0"/>
                <w:i w:val="0"/>
                <w:color w:val="59595B"/>
                <w:sz w:val="18"/>
              </w:rPr>
              <w:t>Virtual Staff Support — Contracted (6.32 hrs/mo)</w:t>
            </w:r>
          </w:p>
        </w:tc>
        <w:tc>
          <w:tcPr>
            <w:tcW w:type="dxa" w:w="4680"/>
          </w:tcPr>
          <w:p>
            <w:r/>
            <w:r>
              <w:rPr>
                <w:rFonts w:ascii="Open Sans" w:hAnsi="Open Sans"/>
                <w:b w:val="0"/>
                <w:i w:val="0"/>
                <w:color w:val="59595B"/>
                <w:sz w:val="18"/>
              </w:rPr>
              <w:t>$121.35</w:t>
            </w:r>
          </w:p>
        </w:tc>
      </w:tr>
      <w:tr>
        <w:tc>
          <w:tcPr>
            <w:tcW w:type="dxa" w:w="4680"/>
          </w:tcPr>
          <w:p>
            <w:r/>
            <w:r>
              <w:rPr>
                <w:rFonts w:ascii="Open Sans" w:hAnsi="Open Sans"/>
                <w:b w:val="0"/>
                <w:i w:val="0"/>
                <w:color w:val="59595B"/>
                <w:sz w:val="18"/>
              </w:rPr>
              <w:t>USA Tech Support (Ad-Hoc — per Schedule C)</w:t>
            </w:r>
          </w:p>
        </w:tc>
        <w:tc>
          <w:tcPr>
            <w:tcW w:type="dxa" w:w="4680"/>
          </w:tcPr>
          <w:p>
            <w:r/>
            <w:r>
              <w:rPr>
                <w:rFonts w:ascii="Open Sans" w:hAnsi="Open Sans"/>
                <w:b w:val="0"/>
                <w:i w:val="0"/>
                <w:color w:val="59595B"/>
                <w:sz w:val="18"/>
              </w:rPr>
              <w:t>Billed when used</w:t>
            </w:r>
          </w:p>
        </w:tc>
      </w:tr>
      <w:tr>
        <w:tc>
          <w:tcPr>
            <w:tcW w:type="dxa" w:w="4680"/>
            <w:shd w:fill="F8F9FA" w:val="clear"/>
          </w:tcPr>
          <w:p>
            <w:r/>
            <w:r>
              <w:rPr>
                <w:rFonts w:ascii="Open Sans" w:hAnsi="Open Sans"/>
                <w:b/>
                <w:i w:val="0"/>
                <w:color w:val="1A1A2E"/>
                <w:sz w:val="18"/>
              </w:rPr>
              <w:t>TOTAL MONTHLY</w:t>
            </w:r>
          </w:p>
        </w:tc>
        <w:tc>
          <w:tcPr>
            <w:tcW w:type="dxa" w:w="4680"/>
            <w:shd w:fill="F8F9FA" w:val="clear"/>
          </w:tcPr>
          <w:p>
            <w:r/>
            <w:r>
              <w:rPr>
                <w:rFonts w:ascii="Open Sans" w:hAnsi="Open Sans"/>
                <w:b/>
                <w:i w:val="0"/>
                <w:color w:val="1A1A2E"/>
                <w:sz w:val="18"/>
              </w:rPr>
              <w:t>$333.35</w:t>
            </w:r>
          </w:p>
        </w:tc>
      </w:tr>
    </w:tbl>
    <w:p>
      <w:pPr>
        <w:spacing w:after="80"/>
      </w:pPr>
    </w:p>
    <w:p>
      <w:pPr>
        <w:spacing w:after="120"/>
      </w:pPr>
      <w:r>
        <w:rPr>
          <w:rFonts w:ascii="Open Sans" w:hAnsi="Open Sans"/>
          <w:b w:val="0"/>
          <w:i w:val="0"/>
          <w:color w:val="59595B"/>
          <w:sz w:val="20"/>
        </w:rPr>
        <w:t>Note: The TOTAL MONTHLY amount of $333.35 represents the contracted recurring fee. Any ad-hoc USA Tech Support, project work, equipment procurement, or other out-of-scope services are invoiced separately per Section 3.02 and Schedule C. The Unpaid Balance of $1,094.85 (see Unpaid Balance Acknowledgment) is carried forward from the prior agreement and is expected to grow by approximately $98.70 per month at current usage levels.</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