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/>
        <w:jc w:val="center"/>
      </w:pPr>
      <w:r>
        <w:rPr>
          <w:rFonts w:ascii="Open Sans" w:hAnsi="Open Sans"/>
          <w:b/>
          <w:i w:val="0"/>
          <w:color w:val="1A1A2E"/>
          <w:sz w:val="48"/>
        </w:rPr>
        <w:t>Schedule B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6"/>
        </w:rPr>
        <w:t>Subscription and License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Aventine at Aliso Viejo Apartments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0"/>
        </w:rPr>
        <w:t>May 1,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FFFFFF"/>
                <w:sz w:val="24"/>
              </w:rPr>
              <w:t>SCHEDULE B — SUBSCRIPTION AND LICENSE SERVICES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Agreement Number: MSA-AAVA-2026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Effective Date: May 1, 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Parent Agreement: Master Service Agreement between Technijian, Inc. and Aventine at Aliso Viejo Apartments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This Schedule B governs any subscription services, software licenses, SaaS subscriptions, SIP trunk services, and similar recurring third-party services procured by Technijian on behalf of Aventine at Aliso Viejo Apartments under the Master Service Agreement (MSA-AAVA-2026). Capitalized terms used and not defined herein have the meanings given to them in the MSA.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Current Subscription Services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Status as of Effective Date: </w:t>
      </w:r>
      <w:r>
        <w:rPr>
          <w:rFonts w:ascii="Open Sans" w:hAnsi="Open Sans"/>
          <w:b w:val="0"/>
          <w:i w:val="0"/>
          <w:color w:val="59595B"/>
          <w:sz w:val="20"/>
        </w:rPr>
        <w:t>No subscription or license services are currently in effect under this Schedule.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Endpoint security services (CrowdStrike, Huntress, My Secure Internet, Patch Management, and My Remote) are provided under Schedule A, Part 1 as managed services and are not subject to this Schedule B.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Adding Subscription Services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Subscription and license services may be added to this Schedule B at any time during the term of the Agreement by executing a Service Order (or written amendment) signed by both Parties. Each Service Order shall specify: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subscription product or license being procured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quantity, unit price, and total monthly or annual fee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The subscription term and renewal terms (if different from the MSA)</w:t>
      </w:r>
    </w:p>
    <w:p>
      <w:pPr>
        <w:pStyle w:val="ListBullet"/>
        <w:spacing w:after="40"/>
      </w:pPr>
      <w:r>
        <w:rPr>
          <w:rFonts w:ascii="Open Sans" w:hAnsi="Open Sans"/>
          <w:b w:val="0"/>
          <w:i w:val="0"/>
          <w:color w:val="59595B"/>
          <w:sz w:val="20"/>
        </w:rPr>
        <w:t>Any vendor-specific terms that apply (such as EULA acknowledgment)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Subscription fees are billed on the Monthly Recurring Subscription Invoice described in Section 3.02(b) of the MSA, in advance, on the first business day of each month.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Pass-Through and Client-Procured Licenses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If Client procures software or subscription licenses directly from a third-party vendor (rather than through Technijian), those licenses are not governed by this Schedule B. Client remains solely responsible for the terms, renewal, and payment of any directly-procured subscriptions. Technijian will install, configure, and support such Client-procured licenses as part of the managed services under Schedule A, subject to vendor and license compatibility.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Termination of Subscriptions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Upon termination of the MSA or this Schedule B, Client shall pay all outstanding fees for any subscription services through the end of the then-current vendor billing period (including any annual commitments procured on Client’s behalf that are not cancellable). Technijian will cooperate in good faith to transfer any transferable subscriptions to Client or a successor provider.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