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 w:line="120"/>
            </w:pPr>
            <w:r/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</w:tcPr>
          <w:p>
            <w:pPr>
              <w:spacing w:before="0" w:after="0"/>
            </w:pPr>
            <w:r/>
          </w:p>
        </w:tc>
        <w:tc>
          <w:tcPr>
            <w:tcW w:type="dxa" w:w="3600"/>
            <w:shd w:fill="F67D4B" w:val="clear"/>
          </w:tcPr>
          <w:p>
            <w:pPr>
              <w:spacing w:before="0" w:after="0"/>
            </w:pPr>
            <w:r/>
          </w:p>
        </w:tc>
        <w:tc>
          <w:tcPr>
            <w:tcW w:type="dxa" w:w="3240"/>
          </w:tcPr>
          <w:p>
            <w:pPr>
              <w:spacing w:before="0" w:after="0"/>
            </w:pPr>
            <w:r/>
          </w:p>
        </w:tc>
      </w:tr>
    </w:tbl>
    <w:p>
      <w:pPr>
        <w:spacing w:before="400"/>
        <w:jc w:val="center"/>
      </w:pPr>
      <w:r>
        <w:rPr>
          <w:rFonts w:ascii="Open Sans" w:hAnsi="Open Sans"/>
          <w:b/>
          <w:i w:val="0"/>
          <w:color w:val="1A1A2E"/>
          <w:sz w:val="48"/>
        </w:rPr>
        <w:t>Schedule C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6"/>
        </w:rPr>
        <w:t>Rate Card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 xml:space="preserve">Prepared for </w:t>
      </w:r>
      <w:r>
        <w:rPr>
          <w:rFonts w:ascii="Open Sans" w:hAnsi="Open Sans"/>
          <w:b/>
          <w:i w:val="0"/>
          <w:color w:val="006DB6"/>
          <w:sz w:val="24"/>
        </w:rPr>
        <w:t>Aventine at Aliso Viejo Apartments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0"/>
        </w:rPr>
        <w:t>May 1, 2026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F67D4B" w:val="clear"/>
          </w:tcPr>
          <w:p>
            <w:pPr>
              <w:spacing w:before="0" w:after="0" w:line="120"/>
            </w:pPr>
            <w:r/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6"/>
        </w:rPr>
        <w:t>CONFIDENTIAL — For authorized use only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Technijian, Inc.  |  18 Technology Dr., Ste 141, Irvine, CA 92618  |  949.379.8499  |  technijian.com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FFFFFF"/>
                <w:sz w:val="24"/>
              </w:rPr>
              <w:t>SCHEDULE C — RATE CARD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Agreement Number: MSA-AAVA-2026</w:t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Effective Date: May 1, 2026</w:t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Parent Agreement: Master Service Agreement between Technijian, Inc. and Aventine at Aliso Viejo Apartments</w:t>
      </w: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Normal Business Hours: Monday – Friday, 8:00 AM – 6:00 PM Pacific Time</w:t>
      </w:r>
    </w:p>
    <w:p>
      <w:pPr>
        <w:spacing w:after="80"/>
      </w:pPr>
    </w:p>
    <w:p>
      <w:pPr>
        <w:spacing w:after="120"/>
      </w:pPr>
      <w:r>
        <w:rPr>
          <w:rFonts w:ascii="Open Sans" w:hAnsi="Open Sans"/>
          <w:b w:val="0"/>
          <w:i w:val="0"/>
          <w:color w:val="59595B"/>
          <w:sz w:val="20"/>
        </w:rPr>
        <w:t>This Schedule C sets forth the standard hourly rates applicable to labor services performed under the Master Service Agreement (MSA-AAVA-2026) that are not covered by an active contracted Schedule or Statement of Work. Capitalized terms used and not defined herein have the meanings given to them in the MSA.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US-Based Staff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Hourly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After-Hours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Contracted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CTO Advisory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$250/hr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$350/hr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$225/hr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Developer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N/A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$125/hr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Tech Support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$250/hr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$125/hr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Offshore-Based Staff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Hourly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After-Hours</w:t>
            </w:r>
          </w:p>
        </w:tc>
        <w:tc>
          <w:tcPr>
            <w:tcW w:type="dxa" w:w="234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Contracted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Developer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$45/hr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N/A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$30/hr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SEO Specialist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$45/hr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N/A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$30/hr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Tech Support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$30/hr</w:t>
            </w:r>
          </w:p>
        </w:tc>
        <w:tc>
          <w:tcPr>
            <w:tcW w:type="dxa" w:w="234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$10/hr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Project &amp; Ad Hoc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9ECEF"/>
          <w:left w:val="single" w:sz="4" w:space="0" w:color="E9ECEF"/>
          <w:bottom w:val="single" w:sz="4" w:space="0" w:color="E9ECEF"/>
          <w:right w:val="single" w:sz="4" w:space="0" w:color="E9ECEF"/>
          <w:insideH w:val="single" w:sz="4" w:space="0" w:color="E9ECEF"/>
          <w:insideV w:val="single" w:sz="4" w:space="0" w:color="E9ECE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Rate</w:t>
            </w:r>
          </w:p>
        </w:tc>
        <w:tc>
          <w:tcPr>
            <w:tcW w:type="dxa" w:w="3120"/>
            <w:shd w:fill="006DB6" w:val="clear"/>
          </w:tcPr>
          <w:p>
            <w:r/>
            <w:r>
              <w:rPr>
                <w:rFonts w:ascii="Open Sans" w:hAnsi="Open Sans"/>
                <w:b/>
                <w:i w:val="0"/>
                <w:color w:val="FFFFFF"/>
                <w:sz w:val="18"/>
              </w:rPr>
              <w:t>Minimum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On-Site Support (US)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2-hr minimum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Remote Support (ad hoc)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15-min increments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Emergency / Critical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$250/hr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1-hr minimum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Project Management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$150/hr</w:t>
            </w:r>
          </w:p>
        </w:tc>
        <w:tc>
          <w:tcPr>
            <w:tcW w:type="dxa" w:w="3120"/>
          </w:tcPr>
          <w:p>
            <w:r/>
            <w:r>
              <w:rPr>
                <w:rFonts w:ascii="Open Sans" w:hAnsi="Open Sans"/>
                <w:b w:val="0"/>
                <w:i w:val="0"/>
                <w:color w:val="59595B"/>
                <w:sz w:val="18"/>
              </w:rPr>
              <w:t>SOW-based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115"/>
            <w:shd w:fill="006DB6" w:val="clear"/>
          </w:tcPr>
          <w:p>
            <w:pPr>
              <w:spacing w:before="0" w:after="0"/>
            </w:pPr>
            <w:r/>
          </w:p>
        </w:tc>
        <w:tc>
          <w:tcPr>
            <w:tcW w:type="dxa" w:w="4680"/>
          </w:tcPr>
          <w:p>
            <w:pPr>
              <w:spacing w:before="80" w:after="80"/>
            </w:pPr>
            <w:r/>
            <w:r>
              <w:rPr>
                <w:rFonts w:ascii="Open Sans" w:hAnsi="Open Sans"/>
                <w:b/>
                <w:i w:val="0"/>
                <w:color w:val="006DB6"/>
                <w:sz w:val="26"/>
              </w:rPr>
              <w:t>Rate Definitions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Normal Business Hours: </w:t>
      </w:r>
      <w:r>
        <w:rPr>
          <w:rFonts w:ascii="Open Sans" w:hAnsi="Open Sans"/>
          <w:b w:val="0"/>
          <w:i w:val="0"/>
          <w:color w:val="59595B"/>
          <w:sz w:val="20"/>
        </w:rPr>
        <w:t>Monday – Friday, 8:00 AM – 6:00 PM Pacific Time, excluding US federal holidays.</w:t>
      </w: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After-Hours: </w:t>
      </w:r>
      <w:r>
        <w:rPr>
          <w:rFonts w:ascii="Open Sans" w:hAnsi="Open Sans"/>
          <w:b w:val="0"/>
          <w:i w:val="0"/>
          <w:color w:val="59595B"/>
          <w:sz w:val="20"/>
        </w:rPr>
        <w:t>All hours outside Normal Business Hours, including weekends and US federal holidays.</w:t>
      </w: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Contracted Rate: </w:t>
      </w:r>
      <w:r>
        <w:rPr>
          <w:rFonts w:ascii="Open Sans" w:hAnsi="Open Sans"/>
          <w:b w:val="0"/>
          <w:i w:val="0"/>
          <w:color w:val="59595B"/>
          <w:sz w:val="20"/>
        </w:rPr>
        <w:t>Discounted rate available when Client commits to the Cycle-Based Billing Model under an active Schedule.</w:t>
      </w:r>
    </w:p>
    <w:p>
      <w:pPr>
        <w:spacing w:after="60"/>
      </w:pPr>
      <w:r>
        <w:rPr>
          <w:rFonts w:ascii="Open Sans" w:hAnsi="Open Sans"/>
          <w:b/>
          <w:i w:val="0"/>
          <w:color w:val="1A1A2E"/>
          <w:sz w:val="20"/>
        </w:rPr>
        <w:t xml:space="preserve">Hourly Rate: </w:t>
      </w:r>
      <w:r>
        <w:rPr>
          <w:rFonts w:ascii="Open Sans" w:hAnsi="Open Sans"/>
          <w:b w:val="0"/>
          <w:i w:val="0"/>
          <w:color w:val="59595B"/>
          <w:sz w:val="20"/>
        </w:rPr>
        <w:t>Standard ad-hoc rate applied to work performed outside an active contracted Schedule.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360"/>
      </w:tblGrid>
      <w:tr>
        <w:tc>
          <w:tcPr>
            <w:tcW w:type="dxa" w:w="9360"/>
            <w:shd w:fill="006DB6" w:val="clear"/>
          </w:tcPr>
          <w:p>
            <w:pPr>
              <w:spacing w:before="0" w:after="0" w:line="40"/>
            </w:pPr>
            <w:r/>
          </w:p>
        </w:tc>
      </w:tr>
    </w:tbl>
    <w:p>
      <w:pPr>
        <w:spacing w:before="120"/>
        <w:jc w:val="center"/>
      </w:pPr>
      <w:r>
        <w:rPr>
          <w:rFonts w:ascii="Open Sans" w:hAnsi="Open Sans"/>
          <w:b w:val="0"/>
          <w:i w:val="0"/>
          <w:color w:val="59595B"/>
          <w:sz w:val="16"/>
        </w:rPr>
        <w:t>Technijian, Inc.  |  18 Technology Dr., Ste 141, Irvine, CA 92618  |  949.379.8499  |  technijian.com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Open Sans" w:hAnsi="Open Sans"/>
      <w:color w:val="59595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