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American Fundstars Financial Group LLC</w:t>
      </w:r>
    </w:p>
    <w:p>
      <w:pPr>
        <w:jc w:val="center"/>
      </w:pPr>
      <w:r>
        <w:rPr>
          <w:rFonts w:ascii="Open Sans" w:hAnsi="Open Sans"/>
          <w:b w:val="0"/>
          <w:i w:val="0"/>
          <w:color w:val="59595B"/>
          <w:sz w:val="24"/>
        </w:rPr>
        <w:t xml:space="preserve">Prepared for </w:t>
      </w:r>
      <w:r>
        <w:rPr>
          <w:rFonts w:ascii="Open Sans" w:hAnsi="Open Sans"/>
          <w:b/>
          <w:i w:val="0"/>
          <w:color w:val="006DB6"/>
          <w:sz w:val="24"/>
        </w:rPr>
        <w:t>American Fundstars Financial Group LLC</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MSA-AFFG-2026</w:t>
      </w:r>
    </w:p>
    <w:p>
      <w:pPr>
        <w:spacing w:after="120"/>
      </w:pPr>
      <w:r>
        <w:rPr>
          <w:rFonts w:ascii="Open Sans" w:hAnsi="Open Sans"/>
          <w:b w:val="0"/>
          <w:i w:val="0"/>
          <w:color w:val="59595B"/>
          <w:sz w:val="20"/>
        </w:rPr>
        <w:t>Effective Date: May 1,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American Fundstars Financial Group LLC (“AFFG” or “Client”)</w:t>
      </w:r>
      <w:r>
        <w:rPr>
          <w:rFonts w:ascii="Open Sans" w:hAnsi="Open Sans"/>
          <w:b w:val="0"/>
          <w:i w:val="0"/>
          <w:color w:val="59595B"/>
          <w:sz w:val="20"/>
        </w:rPr>
      </w:r>
    </w:p>
    <w:p>
      <w:pPr>
        <w:spacing w:after="120"/>
      </w:pPr>
      <w:r>
        <w:rPr>
          <w:rFonts w:ascii="Open Sans" w:hAnsi="Open Sans"/>
          <w:b w:val="0"/>
          <w:i w:val="0"/>
          <w:color w:val="59595B"/>
          <w:sz w:val="20"/>
        </w:rPr>
        <w:t>1 Park Plaza, Suite 210</w:t>
      </w:r>
    </w:p>
    <w:p>
      <w:pPr>
        <w:spacing w:after="120"/>
      </w:pPr>
      <w:r>
        <w:rPr>
          <w:rFonts w:ascii="Open Sans" w:hAnsi="Open Sans"/>
          <w:b w:val="0"/>
          <w:i w:val="0"/>
          <w:color w:val="59595B"/>
          <w:sz w:val="20"/>
        </w:rPr>
        <w:t>Irvine, California 92618</w:t>
      </w:r>
    </w:p>
    <w:p>
      <w:pPr>
        <w:spacing w:after="120"/>
      </w:pPr>
      <w:r>
        <w:rPr>
          <w:rFonts w:ascii="Open Sans" w:hAnsi="Open Sans"/>
          <w:b w:val="0"/>
          <w:i w:val="0"/>
          <w:color w:val="59595B"/>
          <w:sz w:val="20"/>
        </w:rPr>
        <w:t>Primary Contact: [AUTHORIZED SIGNER]</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(VDI, Endpoint Security, User Services, Domain/Site/IP, Shared Storage, and Virtual Staff Support)</w:t>
      </w:r>
    </w:p>
    <w:p>
      <w:pPr>
        <w:pStyle w:val="ListBullet"/>
        <w:spacing w:after="40"/>
      </w:pPr>
      <w:r>
        <w:rPr>
          <w:rFonts w:ascii="Open Sans" w:hAnsi="Open Sans"/>
          <w:b w:val="0"/>
          <w:i w:val="0"/>
          <w:color w:val="59595B"/>
          <w:sz w:val="20"/>
        </w:rPr>
        <w:t>Schedule B — Subscription and License Services (none in effect as of Effective Date)</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 including SOW-AFFG-003 (IT Compliance &amp; VDI Implementation).</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including FINRA, SEC, and other securities-industry requirements;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Client shall pay all fees and charges for services rendered through the date of termination, including any remaining obligations for annual licenses and subscriptions procured on Client’s behalf, and any unpaid balance of contracted Virtual Staff Support hours actually worked in excess of contracted levels.</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subject to payment of applicable fees.</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not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9.09 (Personnel Transition Fee), and Section 10 (Data Protection).</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Invoice Types. Client may receive the following types of invoices from Technijian during the term of this Agreement. Each invoice will clearly identify its type, the applicable Schedule or SOW, and the billing period or delivery event.</w:t>
      </w:r>
    </w:p>
    <w:p>
      <w:pPr>
        <w:spacing w:after="60"/>
      </w:pPr>
      <w:r>
        <w:rPr>
          <w:rFonts w:ascii="Open Sans" w:hAnsi="Open Sans"/>
          <w:b/>
          <w:i w:val="0"/>
          <w:color w:val="006DB6"/>
          <w:sz w:val="20"/>
        </w:rPr>
        <w:t xml:space="preserve">    (a) </w:t>
      </w:r>
      <w:r>
        <w:rPr>
          <w:rFonts w:ascii="Open Sans" w:hAnsi="Open Sans"/>
          <w:b w:val="0"/>
          <w:i w:val="0"/>
          <w:color w:val="59595B"/>
          <w:sz w:val="20"/>
        </w:rPr>
        <w:t>Monthly Service Invoice. Issued on the first business day of each month for recurring managed services under Schedule A. Billed in advance for the upcoming month.</w:t>
      </w:r>
    </w:p>
    <w:p>
      <w:pPr>
        <w:spacing w:after="60"/>
      </w:pPr>
      <w:r>
        <w:rPr>
          <w:rFonts w:ascii="Open Sans" w:hAnsi="Open Sans"/>
          <w:b/>
          <w:i w:val="0"/>
          <w:color w:val="006DB6"/>
          <w:sz w:val="20"/>
        </w:rPr>
        <w:t xml:space="preserve">    (b) </w:t>
      </w:r>
      <w:r>
        <w:rPr>
          <w:rFonts w:ascii="Open Sans" w:hAnsi="Open Sans"/>
          <w:b w:val="0"/>
          <w:i w:val="0"/>
          <w:color w:val="59595B"/>
          <w:sz w:val="20"/>
        </w:rPr>
        <w:t>Weekly In-Contract Invoice. Issued every Friday for Virtual Staff (contracted support) services performed under Schedule A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w:t>
      </w:r>
    </w:p>
    <w:p>
      <w:pPr>
        <w:spacing w:after="60"/>
      </w:pPr>
      <w:r>
        <w:rPr>
          <w:rFonts w:ascii="Open Sans" w:hAnsi="Open Sans"/>
          <w:b/>
          <w:i w:val="0"/>
          <w:color w:val="006DB6"/>
          <w:sz w:val="20"/>
        </w:rPr>
        <w:t xml:space="preserve">    (c) </w:t>
      </w:r>
      <w:r>
        <w:rPr>
          <w:rFonts w:ascii="Open Sans" w:hAnsi="Open Sans"/>
          <w:b w:val="0"/>
          <w:i w:val="0"/>
          <w:color w:val="59595B"/>
          <w:sz w:val="20"/>
        </w:rPr>
        <w:t>Weekly Out-of-Contract Invoice. Issued every Friday for labor services performed outside the scope of any active Schedule or SOW — including ad-hoc support requests, emergency work, and services performed under a SOW with hourly billing.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spacing w:after="60"/>
      </w:pPr>
      <w:r>
        <w:rPr>
          <w:rFonts w:ascii="Open Sans" w:hAnsi="Open Sans"/>
          <w:b/>
          <w:i w:val="0"/>
          <w:color w:val="006DB6"/>
          <w:sz w:val="20"/>
        </w:rPr>
        <w:t xml:space="preserve">    (d) </w:t>
      </w:r>
      <w:r>
        <w:rPr>
          <w:rFonts w:ascii="Open Sans" w:hAnsi="Open Sans"/>
          <w:b w:val="0"/>
          <w:i w:val="0"/>
          <w:color w:val="59595B"/>
          <w:sz w:val="20"/>
        </w:rPr>
        <w:t>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pPr>
        <w:spacing w:after="60"/>
      </w:pPr>
      <w:r>
        <w:rPr>
          <w:rFonts w:ascii="Open Sans" w:hAnsi="Open Sans"/>
          <w:b/>
          <w:i w:val="0"/>
          <w:color w:val="006DB6"/>
          <w:sz w:val="20"/>
        </w:rPr>
        <w:t xml:space="preserve">    (e) </w:t>
      </w:r>
      <w:r>
        <w:rPr>
          <w:rFonts w:ascii="Open Sans" w:hAnsi="Open Sans"/>
          <w:b w:val="0"/>
          <w:i w:val="0"/>
          <w:color w:val="59595B"/>
          <w:sz w:val="20"/>
        </w:rP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 in the applicable Schedule or SOW.</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w:t>
      </w:r>
    </w:p>
    <w:p>
      <w:pPr>
        <w:spacing w:after="60"/>
      </w:pPr>
      <w:r>
        <w:rPr>
          <w:rFonts w:ascii="Open Sans" w:hAnsi="Open Sans"/>
          <w:b/>
          <w:i w:val="0"/>
          <w:color w:val="006DB6"/>
          <w:sz w:val="20"/>
        </w:rPr>
        <w:t xml:space="preserve">    (a) </w:t>
      </w:r>
      <w:r>
        <w:rPr>
          <w:rFonts w:ascii="Open Sans" w:hAnsi="Open Sans"/>
          <w:b w:val="0"/>
          <w:i w:val="0"/>
          <w:color w:val="59595B"/>
          <w:sz w:val="20"/>
        </w:rPr>
        <w:t>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pPr>
      <w:r>
        <w:rPr>
          <w:rFonts w:ascii="Open Sans" w:hAnsi="Open Sans"/>
          <w:b/>
          <w:i w:val="0"/>
          <w:color w:val="006DB6"/>
          <w:sz w:val="20"/>
        </w:rPr>
        <w:t xml:space="preserve">    (b) </w:t>
      </w:r>
      <w:r>
        <w:rPr>
          <w:rFonts w:ascii="Open Sans" w:hAnsi="Open Sans"/>
          <w:b w:val="0"/>
          <w:i w:val="0"/>
          <w:color w:val="59595B"/>
          <w:sz w:val="20"/>
        </w:rPr>
        <w:t>All Other Invoices. For monthly service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    (c) </w:t>
      </w:r>
      <w:r>
        <w:rPr>
          <w:rFonts w:ascii="Open Sans" w:hAnsi="Open Sans"/>
          <w:b w:val="0"/>
          <w:i w:val="0"/>
          <w:color w:val="59595B"/>
          <w:sz w:val="20"/>
        </w:rPr>
        <w:t>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60"/>
      </w:pPr>
      <w:r>
        <w:rPr>
          <w:rFonts w:ascii="Open Sans" w:hAnsi="Open Sans"/>
          <w:b/>
          <w:i w:val="0"/>
          <w:color w:val="006DB6"/>
          <w:sz w:val="20"/>
        </w:rPr>
        <w:t xml:space="preserve">3.07.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hAnsi="Open Sans"/>
          <w:b/>
          <w:i w:val="0"/>
          <w:color w:val="006DB6"/>
          <w:sz w:val="20"/>
        </w:rPr>
        <w:t xml:space="preserve">5.02. </w:t>
      </w:r>
      <w:r>
        <w:rPr>
          <w:rFonts w:ascii="Open Sans" w:hAnsi="Open Sans"/>
          <w:b w:val="0"/>
          <w:i w:val="0"/>
          <w:color w:val="59595B"/>
          <w:sz w:val="20"/>
        </w:rPr>
        <w:t>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60"/>
      </w:pPr>
      <w:r>
        <w:rPr>
          <w:rFonts w:ascii="Open Sans" w:hAnsi="Open Sans"/>
          <w:b/>
          <w:i w:val="0"/>
          <w:color w:val="006DB6"/>
          <w:sz w:val="20"/>
        </w:rPr>
        <w:t xml:space="preserve">5.03. </w:t>
      </w:r>
      <w:r>
        <w:rPr>
          <w:rFonts w:ascii="Open Sans" w:hAnsi="Open Sans"/>
          <w:b w:val="0"/>
          <w:i w:val="0"/>
          <w:color w:val="59595B"/>
          <w:sz w:val="20"/>
        </w:rP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hAnsi="Open Sans"/>
          <w:b/>
          <w:i w:val="0"/>
          <w:color w:val="006DB6"/>
          <w:sz w:val="20"/>
        </w:rPr>
        <w:t xml:space="preserve">5.04. </w:t>
      </w:r>
      <w:r>
        <w:rPr>
          <w:rFonts w:ascii="Open Sans" w:hAnsi="Open Sans"/>
          <w:b w:val="0"/>
          <w:i w:val="0"/>
          <w:color w:val="59595B"/>
          <w:sz w:val="20"/>
        </w:rPr>
        <w:t>Data Liability. While Technijian shall use commercially reasonable efforts to protect Client Data, Client acknowledges that Client is solely responsible for maintaining backup copies of its data.</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w:t>
      </w:r>
    </w:p>
    <w:p>
      <w:pPr>
        <w:spacing w:after="60"/>
      </w:pPr>
      <w:r>
        <w:rPr>
          <w:rFonts w:ascii="Open Sans" w:hAnsi="Open Sans"/>
          <w:b/>
          <w:i w:val="0"/>
          <w:color w:val="006DB6"/>
          <w:sz w:val="20"/>
        </w:rPr>
        <w:t xml:space="preserve">8.04.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 This Agreement supersedes the prior Client Monthly Service Agreement between the Parties (DocuSign Envelope F3CDFC05-B156-8A6F-8020-13A164F4E3F1, effective 3/11/2026). Upon the Effective Date of this Agreement, the monthly charges for workstation services, endpoint security, user services, domain/site/IP services, and shared storage set forth in Schedule A shall REPLACE (not be billed in addition to) the corresponding charges under the prior Monthly Service Agreement. The Virtual Staff Support hours and rates under the prior Monthly Service Agreement (CTO Advisory 3 hrs @ $225, US Tech Support 6 hrs @ $125, India Tech Normal 22 hrs @ $15, India Tech After-Hours 8 hrs @ $30) remain UNCHANGED and carry forward into Schedule A, Part 5 of this Agreement at the same rates and contracted hour levels.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w:t>
      </w:r>
    </w:p>
    <w:p>
      <w:pPr>
        <w:spacing w:after="60"/>
      </w:pPr>
      <w:r>
        <w:rPr>
          <w:rFonts w:ascii="Open Sans" w:hAnsi="Open Sans"/>
          <w:b/>
          <w:i w:val="0"/>
          <w:color w:val="006DB6"/>
          <w:sz w:val="20"/>
        </w:rPr>
        <w:t xml:space="preserve">    (a) </w:t>
      </w:r>
      <w:r>
        <w:rPr>
          <w:rFonts w:ascii="Open Sans" w:hAnsi="Open Sans"/>
          <w:b w:val="0"/>
          <w:i w:val="0"/>
          <w:color w:val="59595B"/>
          <w:sz w:val="20"/>
        </w:rPr>
        <w:t>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pPr>
        <w:spacing w:after="60"/>
      </w:pPr>
      <w:r>
        <w:rPr>
          <w:rFonts w:ascii="Open Sans" w:hAnsi="Open Sans"/>
          <w:b/>
          <w:i w:val="0"/>
          <w:color w:val="006DB6"/>
          <w:sz w:val="20"/>
        </w:rPr>
        <w:t xml:space="preserve">    (b) </w:t>
      </w:r>
      <w:r>
        <w:rPr>
          <w:rFonts w:ascii="Open Sans" w:hAnsi="Open Sans"/>
          <w:b w:val="0"/>
          <w:i w:val="0"/>
          <w:color w:val="59595B"/>
          <w:sz w:val="20"/>
        </w:rPr>
        <w:t>The affected Party shall notify the other Party in writing within five (5) business days of becoming aware of a Force Majeure Event and shall use commercially reasonable efforts to mitigate the impact and resume performance.</w:t>
      </w:r>
    </w:p>
    <w:p>
      <w:pPr>
        <w:spacing w:after="60"/>
      </w:pPr>
      <w:r>
        <w:rPr>
          <w:rFonts w:ascii="Open Sans" w:hAnsi="Open Sans"/>
          <w:b/>
          <w:i w:val="0"/>
          <w:color w:val="006DB6"/>
          <w:sz w:val="20"/>
        </w:rPr>
        <w:t xml:space="preserve">    (c) </w:t>
      </w:r>
      <w:r>
        <w:rPr>
          <w:rFonts w:ascii="Open Sans" w:hAnsi="Open Sans"/>
          <w:b w:val="0"/>
          <w:i w:val="0"/>
          <w:color w:val="59595B"/>
          <w:sz w:val="20"/>
        </w:rPr>
        <w:t>Payment obligations are not excused by a Force Majeure Event.</w:t>
      </w:r>
    </w:p>
    <w:p>
      <w:pPr>
        <w:spacing w:after="60"/>
      </w:pPr>
      <w:r>
        <w:rPr>
          <w:rFonts w:ascii="Open Sans" w:hAnsi="Open Sans"/>
          <w:b/>
          <w:i w:val="0"/>
          <w:color w:val="006DB6"/>
          <w:sz w:val="20"/>
        </w:rPr>
        <w:t xml:space="preserve">    (d) </w:t>
      </w:r>
      <w:r>
        <w:rPr>
          <w:rFonts w:ascii="Open Sans" w:hAnsi="Open Sans"/>
          <w:b w:val="0"/>
          <w:i w:val="0"/>
          <w:color w:val="59595B"/>
          <w:sz w:val="20"/>
        </w:rPr>
        <w:t>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w:t>
      </w:r>
    </w:p>
    <w:p>
      <w:pPr>
        <w:spacing w:after="60"/>
      </w:pPr>
      <w:r>
        <w:rPr>
          <w:rFonts w:ascii="Open Sans" w:hAnsi="Open Sans"/>
          <w:b/>
          <w:i w:val="0"/>
          <w:color w:val="006DB6"/>
          <w:sz w:val="20"/>
        </w:rPr>
        <w:t xml:space="preserve">9.09. </w:t>
      </w:r>
      <w:r>
        <w:rPr>
          <w:rFonts w:ascii="Open Sans" w:hAnsi="Open Sans"/>
          <w:b w:val="0"/>
          <w:i w:val="0"/>
          <w:color w:val="59595B"/>
          <w:sz w:val="20"/>
        </w:rP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10 — DATA PROTECTION</w:t>
            </w:r>
          </w:p>
        </w:tc>
      </w:tr>
    </w:tbl>
    <w:p>
      <w:pPr>
        <w:spacing w:after="60"/>
      </w:pPr>
      <w:r>
        <w:rPr>
          <w:rFonts w:ascii="Open Sans" w:hAnsi="Open Sans"/>
          <w:b/>
          <w:i w:val="0"/>
          <w:color w:val="006DB6"/>
          <w:sz w:val="20"/>
        </w:rPr>
        <w:t xml:space="preserve">10.01. </w:t>
      </w:r>
      <w:r>
        <w:rPr>
          <w:rFonts w:ascii="Open Sans" w:hAnsi="Open Sans"/>
          <w:b w:val="0"/>
          <w:i w:val="0"/>
          <w:color w:val="59595B"/>
          <w:sz w:val="20"/>
        </w:rPr>
        <w:t>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pPr>
      <w:r>
        <w:rPr>
          <w:rFonts w:ascii="Open Sans" w:hAnsi="Open Sans"/>
          <w:b/>
          <w:i w:val="0"/>
          <w:color w:val="006DB6"/>
          <w:sz w:val="20"/>
        </w:rPr>
        <w:t xml:space="preserve">    (a) </w:t>
      </w:r>
      <w:r>
        <w:rPr>
          <w:rFonts w:ascii="Open Sans" w:hAnsi="Open Sans"/>
          <w:b w:val="0"/>
          <w:i w:val="0"/>
          <w:color w:val="59595B"/>
          <w:sz w:val="20"/>
        </w:rPr>
        <w:t>Process such personal information only as necessary to perform the services and in accordance with Client’s documented instructions and this Agreement;</w:t>
      </w:r>
    </w:p>
    <w:p>
      <w:pPr>
        <w:spacing w:after="60"/>
      </w:pPr>
      <w:r>
        <w:rPr>
          <w:rFonts w:ascii="Open Sans" w:hAnsi="Open Sans"/>
          <w:b/>
          <w:i w:val="0"/>
          <w:color w:val="006DB6"/>
          <w:sz w:val="20"/>
        </w:rPr>
        <w:t xml:space="preserve">    (b) </w:t>
      </w:r>
      <w:r>
        <w:rPr>
          <w:rFonts w:ascii="Open Sans" w:hAnsi="Open Sans"/>
          <w:b w:val="0"/>
          <w:i w:val="0"/>
          <w:color w:val="59595B"/>
          <w:sz w:val="20"/>
        </w:rPr>
        <w:t>Not sell, share, retain, use, or disclose personal information for any purpose other than performing the services, including not using personal information for targeted advertising or cross-context behavioral advertising;</w:t>
      </w:r>
    </w:p>
    <w:p>
      <w:pPr>
        <w:spacing w:after="60"/>
      </w:pPr>
      <w:r>
        <w:rPr>
          <w:rFonts w:ascii="Open Sans" w:hAnsi="Open Sans"/>
          <w:b/>
          <w:i w:val="0"/>
          <w:color w:val="006DB6"/>
          <w:sz w:val="20"/>
        </w:rPr>
        <w:t xml:space="preserve">    (c) </w:t>
      </w:r>
      <w:r>
        <w:rPr>
          <w:rFonts w:ascii="Open Sans" w:hAnsi="Open Sans"/>
          <w:b w:val="0"/>
          <w:i w:val="0"/>
          <w:color w:val="59595B"/>
          <w:sz w:val="20"/>
        </w:rPr>
        <w:t>Not combine personal information received from Client with personal information received from other sources or collected from Technijian’s own interactions with individuals, except as expressly permitted by the CCPA to perform the services;</w:t>
      </w:r>
    </w:p>
    <w:p>
      <w:pPr>
        <w:spacing w:after="60"/>
      </w:pPr>
      <w:r>
        <w:rPr>
          <w:rFonts w:ascii="Open Sans" w:hAnsi="Open Sans"/>
          <w:b/>
          <w:i w:val="0"/>
          <w:color w:val="006DB6"/>
          <w:sz w:val="20"/>
        </w:rPr>
        <w:t xml:space="preserve">    (d) </w:t>
      </w:r>
      <w:r>
        <w:rPr>
          <w:rFonts w:ascii="Open Sans" w:hAnsi="Open Sans"/>
          <w:b w:val="0"/>
          <w:i w:val="0"/>
          <w:color w:val="59595B"/>
          <w:sz w:val="20"/>
        </w:rPr>
        <w:t>Implement reasonable security measures appropriate to the nature of the personal information, consistent with the requirements of Section 10.03;</w:t>
      </w:r>
    </w:p>
    <w:p>
      <w:pPr>
        <w:spacing w:after="60"/>
      </w:pPr>
      <w:r>
        <w:rPr>
          <w:rFonts w:ascii="Open Sans" w:hAnsi="Open Sans"/>
          <w:b/>
          <w:i w:val="0"/>
          <w:color w:val="006DB6"/>
          <w:sz w:val="20"/>
        </w:rPr>
        <w:t xml:space="preserve">    (e) </w:t>
      </w:r>
      <w:r>
        <w:rPr>
          <w:rFonts w:ascii="Open Sans" w:hAnsi="Open Sans"/>
          <w:b w:val="0"/>
          <w:i w:val="0"/>
          <w:color w:val="59595B"/>
          <w:sz w:val="20"/>
        </w:rPr>
        <w:t>Cooperate with Client in responding to verifiable consumer rights requests under the CCPA (including access, deletion, correction, and opt-out requests) within ten (10) business days of Client’s request;</w:t>
      </w:r>
    </w:p>
    <w:p>
      <w:pPr>
        <w:spacing w:after="60"/>
      </w:pPr>
      <w:r>
        <w:rPr>
          <w:rFonts w:ascii="Open Sans" w:hAnsi="Open Sans"/>
          <w:b/>
          <w:i w:val="0"/>
          <w:color w:val="006DB6"/>
          <w:sz w:val="20"/>
        </w:rPr>
        <w:t xml:space="preserve">    (f) </w:t>
      </w:r>
      <w:r>
        <w:rPr>
          <w:rFonts w:ascii="Open Sans" w:hAnsi="Open Sans"/>
          <w:b w:val="0"/>
          <w:i w:val="0"/>
          <w:color w:val="59595B"/>
          <w:sz w:val="20"/>
        </w:rPr>
        <w:t>Notify Client within five (5) business days if Technijian determines that it can no longer meet its obligations as a service provider under the CCPA;</w:t>
      </w:r>
    </w:p>
    <w:p>
      <w:pPr>
        <w:spacing w:after="60"/>
      </w:pPr>
      <w:r>
        <w:rPr>
          <w:rFonts w:ascii="Open Sans" w:hAnsi="Open Sans"/>
          <w:b/>
          <w:i w:val="0"/>
          <w:color w:val="006DB6"/>
          <w:sz w:val="20"/>
        </w:rPr>
        <w:t xml:space="preserve">    (g) </w:t>
      </w:r>
      <w:r>
        <w:rPr>
          <w:rFonts w:ascii="Open Sans" w:hAnsi="Open Sans"/>
          <w:b w:val="0"/>
          <w:i w:val="0"/>
          <w:color w:val="59595B"/>
          <w:sz w:val="20"/>
        </w:rPr>
        <w:t>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pPr>
      <w:r>
        <w:rPr>
          <w:rFonts w:ascii="Open Sans" w:hAnsi="Open Sans"/>
          <w:b/>
          <w:i w:val="0"/>
          <w:color w:val="006DB6"/>
          <w:sz w:val="20"/>
        </w:rPr>
        <w:t xml:space="preserve">    (h) </w:t>
      </w:r>
      <w:r>
        <w:rPr>
          <w:rFonts w:ascii="Open Sans" w:hAnsi="Open Sans"/>
          <w:b w:val="0"/>
          <w:i w:val="0"/>
          <w:color w:val="59595B"/>
          <w:sz w:val="20"/>
        </w:rPr>
        <w:t>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pPr>
      <w:r>
        <w:rPr>
          <w:rFonts w:ascii="Open Sans" w:hAnsi="Open Sans"/>
          <w:b/>
          <w:i w:val="0"/>
          <w:color w:val="006DB6"/>
          <w:sz w:val="20"/>
        </w:rPr>
        <w:t xml:space="preserve">    (i) </w:t>
      </w:r>
      <w:r>
        <w:rPr>
          <w:rFonts w:ascii="Open Sans" w:hAnsi="Open Sans"/>
          <w:b w:val="0"/>
          <w:i w:val="0"/>
          <w:color w:val="59595B"/>
          <w:sz w:val="20"/>
        </w:rPr>
        <w:t>Certify that Technijian understands the restrictions in this Section 10 and will comply with them.</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applicable SEC Regulation S-P customer notification requirements, and FINRA Rule 4530 reporting obligations,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Client is a dually registered Investment Adviser and Broker-Dealer subject to SEC Regulation S-P (including the 2024 Amendments), FINRA Rule 4370, FINRA Rule 3110, and SEC Rule 17a-4. The Parties shall cooperate in good faith to implement the controls described in the applicable Schedules and SOWs to support Client’s compliance with these requirements. If additional industry-specific data protection requirements apply, the Parties shall execute a separate addendum addressing the additional obligations applicable to the regulated data.</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AMERICAN FUNDSTARS FINANCIAL GROUP LLC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[AUTHORIZED SIGNER]</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 (delivered as separate documents):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 (none in effect as of Effective Date)</w:t>
      </w:r>
    </w:p>
    <w:p>
      <w:pPr>
        <w:pStyle w:val="ListBullet"/>
        <w:spacing w:after="40"/>
      </w:pPr>
      <w:r>
        <w:rPr>
          <w:rFonts w:ascii="Open Sans" w:hAnsi="Open Sans"/>
          <w:b w:val="0"/>
          <w:i w:val="0"/>
          <w:color w:val="59595B"/>
          <w:sz w:val="20"/>
        </w:rPr>
        <w:t>Schedule C — Rate Card</w:t>
      </w:r>
    </w:p>
    <w:p>
      <w:pPr>
        <w:spacing w:after="80"/>
      </w:pPr>
    </w:p>
    <w:p>
      <w:pPr>
        <w:spacing w:after="120"/>
      </w:pPr>
      <w:r>
        <w:rPr>
          <w:rFonts w:ascii="Open Sans" w:hAnsi="Open Sans"/>
          <w:b w:val="0"/>
          <w:i w:val="0"/>
          <w:color w:val="59595B"/>
          <w:sz w:val="20"/>
        </w:rPr>
        <w:t>Statements of Work delivered under this Agreement:</w:t>
      </w:r>
    </w:p>
    <w:p>
      <w:pPr>
        <w:pStyle w:val="ListBullet"/>
        <w:spacing w:after="40"/>
      </w:pPr>
      <w:r>
        <w:rPr>
          <w:rFonts w:ascii="Open Sans" w:hAnsi="Open Sans"/>
          <w:b w:val="0"/>
          <w:i w:val="0"/>
          <w:color w:val="59595B"/>
          <w:sz w:val="20"/>
        </w:rPr>
        <w:t>SOW-AFFG-001 — Sophos Firewall Deployment</w:t>
      </w:r>
    </w:p>
    <w:p>
      <w:pPr>
        <w:pStyle w:val="ListBullet"/>
        <w:spacing w:after="40"/>
      </w:pPr>
      <w:r>
        <w:rPr>
          <w:rFonts w:ascii="Open Sans" w:hAnsi="Open Sans"/>
          <w:b w:val="0"/>
          <w:i w:val="0"/>
          <w:color w:val="59595B"/>
          <w:sz w:val="20"/>
        </w:rPr>
        <w:t>SOW-AFFG-002 — Wireless Access Point Deployment</w:t>
      </w:r>
    </w:p>
    <w:p>
      <w:pPr>
        <w:pStyle w:val="ListBullet"/>
        <w:spacing w:after="40"/>
      </w:pPr>
      <w:r>
        <w:rPr>
          <w:rFonts w:ascii="Open Sans" w:hAnsi="Open Sans"/>
          <w:b w:val="0"/>
          <w:i w:val="0"/>
          <w:color w:val="59595B"/>
          <w:sz w:val="20"/>
        </w:rPr>
        <w:t>SOW-AFFG-003 — IT Compliance &amp; VDI Implementation</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