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spacing w:before="0" w:after="0" w:line="120"/>
            </w:pPr>
            <w:r/>
          </w:p>
        </w:tc>
      </w:tr>
    </w:tbl>
    <w:p>
      <w:pPr>
        <w:spacing w:after="0"/>
      </w:pPr>
    </w:p>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p>
      <w:pPr>
        <w:spacing w:before="240" w:after="240"/>
        <w:jc w:val="cente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after="160"/>
        <w:jc w:val="center"/>
      </w:pPr>
      <w:r>
        <w:rPr>
          <w:rFonts w:ascii="Open Sans" w:hAnsi="Open Sans"/>
          <w:b/>
          <w:i w:val="0"/>
          <w:color w:val="1A1A2E"/>
          <w:sz w:val="52"/>
        </w:rPr>
        <w:t>Executive Summary</w:t>
      </w:r>
    </w:p>
    <w:p>
      <w:pPr>
        <w:spacing w:after="80"/>
        <w:jc w:val="center"/>
      </w:pPr>
      <w:r>
        <w:rPr>
          <w:rFonts w:ascii="Open Sans" w:hAnsi="Open Sans"/>
          <w:b w:val="0"/>
          <w:i w:val="0"/>
          <w:color w:val="59595B"/>
          <w:sz w:val="28"/>
        </w:rPr>
        <w:t>Managed Services &amp; Cybersecurity Solutions</w:t>
      </w:r>
    </w:p>
    <w:p>
      <w:pPr>
        <w:spacing w:after="40"/>
        <w:jc w:val="center"/>
      </w:pPr>
      <w:r>
        <w:rPr>
          <w:rFonts w:ascii="Open Sans" w:hAnsi="Open Sans"/>
          <w:b w:val="0"/>
          <w:i w:val="0"/>
          <w:color w:val="59595B"/>
          <w:sz w:val="24"/>
        </w:rPr>
        <w:t xml:space="preserve">Prepared for </w:t>
      </w:r>
      <w:r>
        <w:rPr>
          <w:rFonts w:ascii="Open Sans" w:hAnsi="Open Sans"/>
          <w:b/>
          <w:i w:val="0"/>
          <w:color w:val="006DB6"/>
          <w:sz w:val="24"/>
        </w:rPr>
        <w:t>MasonWest</w:t>
      </w:r>
    </w:p>
    <w:p>
      <w:pPr>
        <w:spacing w:after="0"/>
        <w:jc w:val="center"/>
      </w:pPr>
      <w:r>
        <w:rPr>
          <w:rFonts w:ascii="Open Sans" w:hAnsi="Open Sans"/>
          <w:b w:val="0"/>
          <w:i w:val="0"/>
          <w:color w:val="59595B"/>
          <w:sz w:val="22"/>
        </w:rPr>
        <w:t>March 2026</w:t>
      </w:r>
    </w:p>
    <w:p>
      <w:pPr>
        <w:spacing w:after="0"/>
      </w:pP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spacing w:before="0" w:after="0" w:line="120"/>
            </w:pPr>
            <w:r/>
          </w:p>
        </w:tc>
      </w:tr>
    </w:tbl>
    <w:p>
      <w:pPr>
        <w:spacing w:before="160"/>
        <w:jc w:val="center"/>
      </w:pPr>
      <w:r>
        <w:rPr>
          <w:rFonts w:ascii="Open Sans" w:hAnsi="Open Sans"/>
          <w:b w:val="0"/>
          <w:i/>
          <w:color w:val="59595B"/>
          <w:sz w:val="16"/>
        </w:rPr>
        <w:t>CONFIDENTIAL — For authorized use only</w:t>
      </w:r>
    </w:p>
    <w:p>
      <w:pPr>
        <w:spacing w:before="160"/>
        <w:jc w:val="center"/>
      </w:pPr>
      <w:r>
        <w:rPr>
          <w:rFonts w:ascii="Open Sans" w:hAnsi="Open Sans"/>
          <w:b w:val="0"/>
          <w:i w:val="0"/>
          <w:color w:val="59595B"/>
          <w:sz w:val="16"/>
        </w:rPr>
        <w:t>Technijian  |  18 Technology Dr., Ste 141, Irvine, CA 92618  |  949.379.8499  |  technijian.com</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Overview</w:t>
            </w:r>
          </w:p>
        </w:tc>
      </w:tr>
    </w:tbl>
    <w:p>
      <w:pPr>
        <w:spacing w:after="160"/>
      </w:pPr>
      <w:r>
        <w:rPr>
          <w:rFonts w:ascii="Open Sans" w:hAnsi="Open Sans"/>
          <w:b w:val="0"/>
          <w:i w:val="0"/>
          <w:color w:val="59595B"/>
          <w:sz w:val="20"/>
        </w:rPr>
        <w:t>Technijian proposes a comprehensive Managed Services Agreement for MasonWest, delivering enterprise-grade cybersecurity, endpoint protection, email security, and dedicated virtual staff support. This solution is designed to secure and manage MasonWest’s 74 users across 80 endpoints and 4 office locations, providing 24/7 protection with predictable monthly costs.</w:t>
      </w:r>
    </w:p>
    <w:p>
      <w:pPr>
        <w:spacing w:after="160"/>
      </w:pPr>
      <w:r>
        <w:rPr>
          <w:rFonts w:ascii="Open Sans" w:hAnsi="Open Sans"/>
          <w:b w:val="0"/>
          <w:i w:val="0"/>
          <w:color w:val="59595B"/>
          <w:sz w:val="20"/>
        </w:rPr>
        <w:t>Upon engagement, MasonWest will have a fully managed security and support infrastructure including next-generation endpoint detection and response, DNS-layer protection, advanced email threat prevention, and a blended US/offshore support team providing coverage across business hours and after-hours.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Current Environment</w:t>
            </w:r>
          </w:p>
        </w:tc>
      </w:tr>
    </w:tbl>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2592"/>
            <w:shd w:fill="006DB6" w:val="clear"/>
          </w:tcPr>
          <w:p>
            <w:r/>
            <w:r>
              <w:rPr>
                <w:rFonts w:ascii="Open Sans" w:hAnsi="Open Sans"/>
                <w:b/>
                <w:i w:val="0"/>
                <w:color w:val="FFFFFF"/>
                <w:sz w:val="18"/>
              </w:rPr>
              <w:t>Category</w:t>
            </w:r>
          </w:p>
        </w:tc>
        <w:tc>
          <w:tcPr>
            <w:tcW w:type="dxa" w:w="6048"/>
            <w:shd w:fill="006DB6" w:val="clear"/>
          </w:tcPr>
          <w:p>
            <w:r/>
            <w:r>
              <w:rPr>
                <w:rFonts w:ascii="Open Sans" w:hAnsi="Open Sans"/>
                <w:b/>
                <w:i w:val="0"/>
                <w:color w:val="FFFFFF"/>
                <w:sz w:val="18"/>
              </w:rPr>
              <w:t>Details</w:t>
            </w:r>
          </w:p>
        </w:tc>
      </w:tr>
      <w:tr>
        <w:tc>
          <w:tcPr>
            <w:tcW w:type="dxa" w:w="2592"/>
          </w:tcPr>
          <w:p>
            <w:r/>
            <w:r>
              <w:rPr>
                <w:rFonts w:ascii="Open Sans" w:hAnsi="Open Sans"/>
                <w:b w:val="0"/>
                <w:i w:val="0"/>
                <w:color w:val="59595B"/>
                <w:sz w:val="18"/>
              </w:rPr>
              <w:t>Active Users</w:t>
            </w:r>
          </w:p>
        </w:tc>
        <w:tc>
          <w:tcPr>
            <w:tcW w:type="dxa" w:w="6048"/>
          </w:tcPr>
          <w:p>
            <w:r/>
            <w:r>
              <w:rPr>
                <w:rFonts w:ascii="Open Sans" w:hAnsi="Open Sans"/>
                <w:b w:val="0"/>
                <w:i w:val="0"/>
                <w:color w:val="59595B"/>
                <w:sz w:val="18"/>
              </w:rPr>
              <w:t>74</w:t>
            </w:r>
          </w:p>
        </w:tc>
      </w:tr>
      <w:tr>
        <w:tc>
          <w:tcPr>
            <w:tcW w:type="dxa" w:w="2592"/>
          </w:tcPr>
          <w:p>
            <w:r/>
            <w:r>
              <w:rPr>
                <w:rFonts w:ascii="Open Sans" w:hAnsi="Open Sans"/>
                <w:b w:val="0"/>
                <w:i w:val="0"/>
                <w:color w:val="59595B"/>
                <w:sz w:val="18"/>
              </w:rPr>
              <w:t>Managed Endpoints</w:t>
            </w:r>
          </w:p>
        </w:tc>
        <w:tc>
          <w:tcPr>
            <w:tcW w:type="dxa" w:w="6048"/>
          </w:tcPr>
          <w:p>
            <w:r/>
            <w:r>
              <w:rPr>
                <w:rFonts w:ascii="Open Sans" w:hAnsi="Open Sans"/>
                <w:b w:val="0"/>
                <w:i w:val="0"/>
                <w:color w:val="59595B"/>
                <w:sz w:val="18"/>
              </w:rPr>
              <w:t>~80 (desktops/laptops)</w:t>
            </w:r>
          </w:p>
        </w:tc>
      </w:tr>
      <w:tr>
        <w:tc>
          <w:tcPr>
            <w:tcW w:type="dxa" w:w="2592"/>
          </w:tcPr>
          <w:p>
            <w:r/>
            <w:r>
              <w:rPr>
                <w:rFonts w:ascii="Open Sans" w:hAnsi="Open Sans"/>
                <w:b w:val="0"/>
                <w:i w:val="0"/>
                <w:color w:val="59595B"/>
                <w:sz w:val="18"/>
              </w:rPr>
              <w:t>Office Locations</w:t>
            </w:r>
          </w:p>
        </w:tc>
        <w:tc>
          <w:tcPr>
            <w:tcW w:type="dxa" w:w="6048"/>
          </w:tcPr>
          <w:p>
            <w:r/>
            <w:r>
              <w:rPr>
                <w:rFonts w:ascii="Open Sans" w:hAnsi="Open Sans"/>
                <w:b w:val="0"/>
                <w:i w:val="0"/>
                <w:color w:val="59595B"/>
                <w:sz w:val="18"/>
              </w:rPr>
              <w:t>4</w:t>
            </w:r>
          </w:p>
        </w:tc>
      </w:tr>
      <w:tr>
        <w:tc>
          <w:tcPr>
            <w:tcW w:type="dxa" w:w="2592"/>
          </w:tcPr>
          <w:p>
            <w:r/>
            <w:r>
              <w:rPr>
                <w:rFonts w:ascii="Open Sans" w:hAnsi="Open Sans"/>
                <w:b w:val="0"/>
                <w:i w:val="0"/>
                <w:color w:val="59595B"/>
                <w:sz w:val="18"/>
              </w:rPr>
              <w:t>Cloud Platform</w:t>
            </w:r>
          </w:p>
        </w:tc>
        <w:tc>
          <w:tcPr>
            <w:tcW w:type="dxa" w:w="6048"/>
          </w:tcPr>
          <w:p>
            <w:r/>
            <w:r>
              <w:rPr>
                <w:rFonts w:ascii="Open Sans" w:hAnsi="Open Sans"/>
                <w:b w:val="0"/>
                <w:i w:val="0"/>
                <w:color w:val="59595B"/>
                <w:sz w:val="18"/>
              </w:rPr>
              <w:t>Microsoft 365 (Exchange Online, SharePoint, OneDrive, Teams)</w:t>
            </w:r>
          </w:p>
        </w:tc>
      </w:tr>
      <w:tr>
        <w:tc>
          <w:tcPr>
            <w:tcW w:type="dxa" w:w="2592"/>
          </w:tcPr>
          <w:p>
            <w:r/>
            <w:r>
              <w:rPr>
                <w:rFonts w:ascii="Open Sans" w:hAnsi="Open Sans"/>
                <w:b w:val="0"/>
                <w:i w:val="0"/>
                <w:color w:val="59595B"/>
                <w:sz w:val="18"/>
              </w:rPr>
              <w:t>ERP / Finance</w:t>
            </w:r>
          </w:p>
        </w:tc>
        <w:tc>
          <w:tcPr>
            <w:tcW w:type="dxa" w:w="6048"/>
          </w:tcPr>
          <w:p>
            <w:r/>
            <w:r>
              <w:rPr>
                <w:rFonts w:ascii="Open Sans" w:hAnsi="Open Sans"/>
                <w:b w:val="0"/>
                <w:i w:val="0"/>
                <w:color w:val="59595B"/>
                <w:sz w:val="18"/>
              </w:rPr>
              <w:t>Sage 100</w:t>
            </w:r>
          </w:p>
        </w:tc>
      </w:tr>
      <w:tr>
        <w:tc>
          <w:tcPr>
            <w:tcW w:type="dxa" w:w="2592"/>
          </w:tcPr>
          <w:p>
            <w:r/>
            <w:r>
              <w:rPr>
                <w:rFonts w:ascii="Open Sans" w:hAnsi="Open Sans"/>
                <w:b w:val="0"/>
                <w:i w:val="0"/>
                <w:color w:val="59595B"/>
                <w:sz w:val="18"/>
              </w:rPr>
              <w:t>CRM</w:t>
            </w:r>
          </w:p>
        </w:tc>
        <w:tc>
          <w:tcPr>
            <w:tcW w:type="dxa" w:w="6048"/>
          </w:tcPr>
          <w:p>
            <w:r/>
            <w:r>
              <w:rPr>
                <w:rFonts w:ascii="Open Sans" w:hAnsi="Open Sans"/>
                <w:b w:val="0"/>
                <w:i w:val="0"/>
                <w:color w:val="59595B"/>
                <w:sz w:val="18"/>
              </w:rPr>
              <w:t>Salesforce (integrated with Sage 100)</w:t>
            </w:r>
          </w:p>
        </w:tc>
      </w:tr>
      <w:tr>
        <w:tc>
          <w:tcPr>
            <w:tcW w:type="dxa" w:w="2592"/>
          </w:tcPr>
          <w:p>
            <w:r/>
            <w:r>
              <w:rPr>
                <w:rFonts w:ascii="Open Sans" w:hAnsi="Open Sans"/>
                <w:b w:val="0"/>
                <w:i w:val="0"/>
                <w:color w:val="59595B"/>
                <w:sz w:val="18"/>
              </w:rPr>
              <w:t>Engineering Apps</w:t>
            </w:r>
          </w:p>
        </w:tc>
        <w:tc>
          <w:tcPr>
            <w:tcW w:type="dxa" w:w="6048"/>
          </w:tcPr>
          <w:p>
            <w:r/>
            <w:r>
              <w:rPr>
                <w:rFonts w:ascii="Open Sans" w:hAnsi="Open Sans"/>
                <w:b w:val="0"/>
                <w:i w:val="0"/>
                <w:color w:val="59595B"/>
                <w:sz w:val="18"/>
              </w:rPr>
              <w:t>Autodesk AutoCAD, Revit, Navisworks; Bluebeam Revu</w:t>
            </w:r>
          </w:p>
        </w:tc>
      </w:tr>
      <w:tr>
        <w:tc>
          <w:tcPr>
            <w:tcW w:type="dxa" w:w="2592"/>
          </w:tcPr>
          <w:p>
            <w:r/>
            <w:r>
              <w:rPr>
                <w:rFonts w:ascii="Open Sans" w:hAnsi="Open Sans"/>
                <w:b w:val="0"/>
                <w:i w:val="0"/>
                <w:color w:val="59595B"/>
                <w:sz w:val="18"/>
              </w:rPr>
              <w:t>Workload Profile</w:t>
            </w:r>
          </w:p>
        </w:tc>
        <w:tc>
          <w:tcPr>
            <w:tcW w:type="dxa" w:w="6048"/>
          </w:tcPr>
          <w:p>
            <w:r/>
            <w:r>
              <w:rPr>
                <w:rFonts w:ascii="Open Sans" w:hAnsi="Open Sans"/>
                <w:b w:val="0"/>
                <w:i w:val="0"/>
                <w:color w:val="59595B"/>
                <w:sz w:val="18"/>
              </w:rPr>
              <w:t>Engineering and estimating-focused</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Why Each Service</w:t>
            </w:r>
          </w:p>
        </w:tc>
      </w:tr>
    </w:tbl>
    <w:p>
      <w:pPr>
        <w:spacing w:after="160"/>
      </w:pPr>
      <w:r>
        <w:rPr>
          <w:rFonts w:ascii="Open Sans" w:hAnsi="Open Sans"/>
          <w:b w:val="0"/>
          <w:i w:val="0"/>
          <w:color w:val="59595B"/>
          <w:sz w:val="20"/>
        </w:rPr>
        <w:t>Every component in this proposal addresses a specific risk or operational need for MasonWest’s environment. Below is the justification for each service.</w:t>
      </w:r>
    </w:p>
    <w:p>
      <w:pPr>
        <w:spacing w:before="160" w:after="40"/>
      </w:pPr>
      <w:r>
        <w:rPr>
          <w:rFonts w:ascii="Open Sans" w:hAnsi="Open Sans"/>
          <w:b/>
          <w:i w:val="0"/>
          <w:color w:val="006DB6"/>
          <w:sz w:val="22"/>
        </w:rPr>
        <w:t>CrowdStrike Falcon EDR</w:t>
      </w:r>
    </w:p>
    <w:p>
      <w:pPr>
        <w:spacing w:after="40"/>
      </w:pPr>
      <w:r>
        <w:rPr>
          <w:rFonts w:ascii="Open Sans" w:hAnsi="Open Sans"/>
          <w:b w:val="0"/>
          <w:i/>
          <w:color w:val="1A1A2E"/>
          <w:sz w:val="20"/>
        </w:rPr>
        <w:t>Next-generation endpoint detection and response deployed on all managed desktops and laptops.</w:t>
      </w:r>
    </w:p>
    <w:p>
      <w:pPr>
        <w:spacing w:after="120"/>
      </w:pPr>
      <w:r>
        <w:rPr>
          <w:rFonts w:ascii="Open Sans" w:hAnsi="Open Sans"/>
          <w:b/>
          <w:i w:val="0"/>
          <w:color w:val="F67D4B"/>
          <w:sz w:val="20"/>
        </w:rPr>
        <w:t xml:space="preserve">Why: </w:t>
      </w:r>
      <w:r>
        <w:rPr>
          <w:rFonts w:ascii="Open Sans" w:hAnsi="Open Sans"/>
          <w:b w:val="0"/>
          <w:i w:val="0"/>
          <w:color w:val="59595B"/>
          <w:sz w:val="20"/>
        </w:rPr>
        <w:t>With 80 endpoints spread across 4 locations, MasonWest needs real-time threat detection that goes beyond traditional antivirus. CrowdStrike uses AI-driven behavioral analysis to detect ransomware, fileless attacks, and zero-day exploits before they execute. Engineering workstations running AutoCAD, Revit, and Navisworks are high-value targets — a single ransomware incident could halt project delivery and expose client data.</w:t>
      </w:r>
    </w:p>
    <w:p>
      <w:pPr>
        <w:spacing w:before="160" w:after="40"/>
      </w:pPr>
      <w:r>
        <w:rPr>
          <w:rFonts w:ascii="Open Sans" w:hAnsi="Open Sans"/>
          <w:b/>
          <w:i w:val="0"/>
          <w:color w:val="006DB6"/>
          <w:sz w:val="22"/>
        </w:rPr>
        <w:t>Huntress Managed Detection</w:t>
      </w:r>
    </w:p>
    <w:p>
      <w:pPr>
        <w:spacing w:after="40"/>
      </w:pPr>
      <w:r>
        <w:rPr>
          <w:rFonts w:ascii="Open Sans" w:hAnsi="Open Sans"/>
          <w:b w:val="0"/>
          <w:i/>
          <w:color w:val="1A1A2E"/>
          <w:sz w:val="20"/>
        </w:rPr>
        <w:t>24/7 SOC-backed threat hunting and persistent foothold detection with human-led analysis.</w:t>
      </w:r>
    </w:p>
    <w:p>
      <w:pPr>
        <w:spacing w:after="120"/>
      </w:pPr>
      <w:r>
        <w:rPr>
          <w:rFonts w:ascii="Open Sans" w:hAnsi="Open Sans"/>
          <w:b/>
          <w:i w:val="0"/>
          <w:color w:val="F67D4B"/>
          <w:sz w:val="20"/>
        </w:rPr>
        <w:t xml:space="preserve">Why: </w:t>
      </w:r>
      <w:r>
        <w:rPr>
          <w:rFonts w:ascii="Open Sans" w:hAnsi="Open Sans"/>
          <w:b w:val="0"/>
          <w:i w:val="0"/>
          <w:color w:val="59595B"/>
          <w:sz w:val="20"/>
        </w:rPr>
        <w:t>CrowdStrike stops known and behavioral threats in real time, but sophisticated attackers establish persistence mechanisms that evade automated tools. Huntress provides a dedicated Security Operations Center that actively hunts for footholds, backdoors, and living-off-the-land techniques. This layered approach closes the gap between automated detection and human-led threat intelligence — critical for an environment with Sage 100 financial data and Salesforce integrations.</w:t>
      </w:r>
    </w:p>
    <w:p>
      <w:pPr>
        <w:spacing w:before="160" w:after="40"/>
      </w:pPr>
      <w:r>
        <w:rPr>
          <w:rFonts w:ascii="Open Sans" w:hAnsi="Open Sans"/>
          <w:b/>
          <w:i w:val="0"/>
          <w:color w:val="006DB6"/>
          <w:sz w:val="22"/>
        </w:rPr>
        <w:t>Cisco Umbrella (My Secure Internet)</w:t>
      </w:r>
    </w:p>
    <w:p>
      <w:pPr>
        <w:spacing w:after="40"/>
      </w:pPr>
      <w:r>
        <w:rPr>
          <w:rFonts w:ascii="Open Sans" w:hAnsi="Open Sans"/>
          <w:b w:val="0"/>
          <w:i/>
          <w:color w:val="1A1A2E"/>
          <w:sz w:val="20"/>
        </w:rPr>
        <w:t>DNS-layer security that blocks malicious domains, phishing sites, and command-and-control callbacks before a connection is ever established.</w:t>
      </w:r>
    </w:p>
    <w:p>
      <w:pPr>
        <w:spacing w:after="120"/>
      </w:pPr>
      <w:r>
        <w:rPr>
          <w:rFonts w:ascii="Open Sans" w:hAnsi="Open Sans"/>
          <w:b/>
          <w:i w:val="0"/>
          <w:color w:val="F67D4B"/>
          <w:sz w:val="20"/>
        </w:rPr>
        <w:t xml:space="preserve">Why: </w:t>
      </w:r>
      <w:r>
        <w:rPr>
          <w:rFonts w:ascii="Open Sans" w:hAnsi="Open Sans"/>
          <w:b w:val="0"/>
          <w:i w:val="0"/>
          <w:color w:val="59595B"/>
          <w:sz w:val="20"/>
        </w:rPr>
        <w:t>Most cyberattacks begin with a DNS query — whether a phishing link in an email, a malicious ad, or a compromised website. Cisco Umbrella intercepts these requests at the DNS layer, blocking threats before they reach the endpoint. This is especially important for MasonWest’s 4 office locations, where users access cloud applications (M365, Salesforce, Sage 100) from multiple networks. Umbrella provides consistent protection regardless of location.</w:t>
      </w:r>
    </w:p>
    <w:p>
      <w:pPr>
        <w:spacing w:before="160" w:after="40"/>
      </w:pPr>
      <w:r>
        <w:rPr>
          <w:rFonts w:ascii="Open Sans" w:hAnsi="Open Sans"/>
          <w:b/>
          <w:i w:val="0"/>
          <w:color w:val="006DB6"/>
          <w:sz w:val="22"/>
        </w:rPr>
        <w:t>Patch Management (ManageEngine Endpoint Central Plus)</w:t>
      </w:r>
    </w:p>
    <w:p>
      <w:pPr>
        <w:spacing w:after="40"/>
      </w:pPr>
      <w:r>
        <w:rPr>
          <w:rFonts w:ascii="Open Sans" w:hAnsi="Open Sans"/>
          <w:b w:val="0"/>
          <w:i/>
          <w:color w:val="1A1A2E"/>
          <w:sz w:val="20"/>
        </w:rPr>
        <w:t>Automated OS and third-party application patching powered by ManageEngine Endpoint Central Plus, a unified endpoint management platform with software deployment, vulnerability scanning, and configuration management built in.</w:t>
      </w:r>
    </w:p>
    <w:p>
      <w:pPr>
        <w:spacing w:after="120"/>
      </w:pPr>
      <w:r>
        <w:rPr>
          <w:rFonts w:ascii="Open Sans" w:hAnsi="Open Sans"/>
          <w:b/>
          <w:i w:val="0"/>
          <w:color w:val="F67D4B"/>
          <w:sz w:val="20"/>
        </w:rPr>
        <w:t xml:space="preserve">Why: </w:t>
      </w:r>
      <w:r>
        <w:rPr>
          <w:rFonts w:ascii="Open Sans" w:hAnsi="Open Sans"/>
          <w:b w:val="0"/>
          <w:i w:val="0"/>
          <w:color w:val="59595B"/>
          <w:sz w:val="20"/>
        </w:rPr>
        <w:t>Unpatched vulnerabilities are the #1 attack vector for ransomware and malware. With 80 endpoints running Windows plus engineering applications (AutoCAD, Revit, Navisworks, Bluebeam), keeping software current is both critical and complex. Endpoint Central Plus goes beyond basic patching — it provides automated vulnerability scanning to identify missing patches by severity, supports 850+ third-party application updates, and includes software deployment and configuration management from a single console. Scheduled deployment windows ensure security updates are applied consistently without disrupting engineering workflows.</w:t>
      </w:r>
    </w:p>
    <w:p>
      <w:pPr>
        <w:spacing w:before="160" w:after="40"/>
      </w:pPr>
      <w:r>
        <w:rPr>
          <w:rFonts w:ascii="Open Sans" w:hAnsi="Open Sans"/>
          <w:b/>
          <w:i w:val="0"/>
          <w:color w:val="006DB6"/>
          <w:sz w:val="22"/>
        </w:rPr>
        <w:t>My Remote (ConnectWise ScreenConnect)</w:t>
      </w:r>
    </w:p>
    <w:p>
      <w:pPr>
        <w:spacing w:after="40"/>
      </w:pPr>
      <w:r>
        <w:rPr>
          <w:rFonts w:ascii="Open Sans" w:hAnsi="Open Sans"/>
          <w:b w:val="0"/>
          <w:i/>
          <w:color w:val="1A1A2E"/>
          <w:sz w:val="20"/>
        </w:rPr>
        <w:t>Secure remote access and support tool powered by ConnectWise ScreenConnect, providing on-demand and unattended access to all managed endpoints.</w:t>
      </w:r>
    </w:p>
    <w:p>
      <w:pPr>
        <w:spacing w:after="120"/>
      </w:pPr>
      <w:r>
        <w:rPr>
          <w:rFonts w:ascii="Open Sans" w:hAnsi="Open Sans"/>
          <w:b/>
          <w:i w:val="0"/>
          <w:color w:val="F67D4B"/>
          <w:sz w:val="20"/>
        </w:rPr>
        <w:t xml:space="preserve">Why: </w:t>
      </w:r>
      <w:r>
        <w:rPr>
          <w:rFonts w:ascii="Open Sans" w:hAnsi="Open Sans"/>
          <w:b w:val="0"/>
          <w:i w:val="0"/>
          <w:color w:val="59595B"/>
          <w:sz w:val="20"/>
        </w:rPr>
        <w:t>Technijian’s support team needs secure, on-demand access to MasonWest’s endpoints to deliver the contracted support hours, troubleshoot issues, deploy software, and perform maintenance. ScreenConnect provides lightning-fast remote sessions with role-based access controls, full session audit logging, and unattended access for after-hours maintenance — eliminating the need for users to install ad hoc remote tools that introduce security risk. Its lightweight agent has minimal impact on engineering workstation performance.</w:t>
      </w:r>
    </w:p>
    <w:p>
      <w:pPr>
        <w:spacing w:before="160" w:after="40"/>
      </w:pPr>
      <w:r>
        <w:rPr>
          <w:rFonts w:ascii="Open Sans" w:hAnsi="Open Sans"/>
          <w:b/>
          <w:i w:val="0"/>
          <w:color w:val="006DB6"/>
          <w:sz w:val="22"/>
        </w:rPr>
        <w:t>Inky Anti-Phishing Protection</w:t>
      </w:r>
    </w:p>
    <w:p>
      <w:pPr>
        <w:spacing w:after="40"/>
      </w:pPr>
      <w:r>
        <w:rPr>
          <w:rFonts w:ascii="Open Sans" w:hAnsi="Open Sans"/>
          <w:b w:val="0"/>
          <w:i/>
          <w:color w:val="1A1A2E"/>
          <w:sz w:val="20"/>
        </w:rPr>
        <w:t>AI-powered email security that detects and blocks phishing, business email compromise (BEC), and social engineering attacks targeting Microsoft 365 mailboxes.</w:t>
      </w:r>
    </w:p>
    <w:p>
      <w:pPr>
        <w:spacing w:after="120"/>
      </w:pPr>
      <w:r>
        <w:rPr>
          <w:rFonts w:ascii="Open Sans" w:hAnsi="Open Sans"/>
          <w:b/>
          <w:i w:val="0"/>
          <w:color w:val="F67D4B"/>
          <w:sz w:val="20"/>
        </w:rPr>
        <w:t xml:space="preserve">Why: </w:t>
      </w:r>
      <w:r>
        <w:rPr>
          <w:rFonts w:ascii="Open Sans" w:hAnsi="Open Sans"/>
          <w:b w:val="0"/>
          <w:i w:val="0"/>
          <w:color w:val="59595B"/>
          <w:sz w:val="20"/>
        </w:rPr>
        <w:t>Email is the primary attack vector for business email compromise, and with 74 users on Microsoft 365, the attack surface is significant. Inky uses computer vision and machine learning to analyze every inbound email, detecting impersonation attempts, brand forgery, and zero-day phishing that bypasses Microsoft’s built-in filters. For a firm handling engineering proposals, client contracts, and financial data through Sage 100, a single successful BEC attack could result in wire fraud or data exfiltration.</w:t>
      </w:r>
    </w:p>
    <w:p>
      <w:pPr>
        <w:spacing w:before="160" w:after="40"/>
      </w:pPr>
      <w:r>
        <w:rPr>
          <w:rFonts w:ascii="Open Sans" w:hAnsi="Open Sans"/>
          <w:b/>
          <w:i w:val="0"/>
          <w:color w:val="006DB6"/>
          <w:sz w:val="22"/>
        </w:rPr>
        <w:t>DMARC/DKIM Monitoring</w:t>
      </w:r>
    </w:p>
    <w:p>
      <w:pPr>
        <w:spacing w:after="40"/>
      </w:pPr>
      <w:r>
        <w:rPr>
          <w:rFonts w:ascii="Open Sans" w:hAnsi="Open Sans"/>
          <w:b w:val="0"/>
          <w:i/>
          <w:color w:val="1A1A2E"/>
          <w:sz w:val="20"/>
        </w:rPr>
        <w:t>Email authentication monitoring and reporting to prevent unauthorized parties from spoofing MasonWest’s domain.</w:t>
      </w:r>
    </w:p>
    <w:p>
      <w:pPr>
        <w:spacing w:after="120"/>
      </w:pPr>
      <w:r>
        <w:rPr>
          <w:rFonts w:ascii="Open Sans" w:hAnsi="Open Sans"/>
          <w:b/>
          <w:i w:val="0"/>
          <w:color w:val="F67D4B"/>
          <w:sz w:val="20"/>
        </w:rPr>
        <w:t xml:space="preserve">Why: </w:t>
      </w:r>
      <w:r>
        <w:rPr>
          <w:rFonts w:ascii="Open Sans" w:hAnsi="Open Sans"/>
          <w:b w:val="0"/>
          <w:i w:val="0"/>
          <w:color w:val="59595B"/>
          <w:sz w:val="20"/>
        </w:rPr>
        <w:t>Without DMARC and DKIM enforcement, attackers can send emails that appear to come from MasonWest’s domain — targeting your clients, vendors, and partners with fraudulent invoices or requests. Ongoing monitoring ensures your email authentication policies are correctly configured, alerts on spoofing attempts, and provides visibility into who is sending email on your behalf.</w:t>
      </w:r>
    </w:p>
    <w:p>
      <w:pPr>
        <w:spacing w:before="160" w:after="40"/>
      </w:pPr>
      <w:r>
        <w:rPr>
          <w:rFonts w:ascii="Open Sans" w:hAnsi="Open Sans"/>
          <w:b/>
          <w:i w:val="0"/>
          <w:color w:val="006DB6"/>
          <w:sz w:val="22"/>
        </w:rPr>
        <w:t>Monthly Site Assessments (Network Detective by RapidFire Tools)</w:t>
      </w:r>
    </w:p>
    <w:p>
      <w:pPr>
        <w:spacing w:after="40"/>
      </w:pPr>
      <w:r>
        <w:rPr>
          <w:rFonts w:ascii="Open Sans" w:hAnsi="Open Sans"/>
          <w:b w:val="0"/>
          <w:i/>
          <w:color w:val="1A1A2E"/>
          <w:sz w:val="20"/>
        </w:rPr>
        <w:t>Comprehensive security and compliance assessments for each of MasonWest’s 4 office locations and Microsoft 365 tenant, powered by Network Detective.</w:t>
      </w:r>
    </w:p>
    <w:p>
      <w:pPr>
        <w:spacing w:after="120"/>
      </w:pPr>
      <w:r>
        <w:rPr>
          <w:rFonts w:ascii="Open Sans" w:hAnsi="Open Sans"/>
          <w:b/>
          <w:i w:val="0"/>
          <w:color w:val="F67D4B"/>
          <w:sz w:val="20"/>
        </w:rPr>
        <w:t xml:space="preserve">Why: </w:t>
      </w:r>
      <w:r>
        <w:rPr>
          <w:rFonts w:ascii="Open Sans" w:hAnsi="Open Sans"/>
          <w:b w:val="0"/>
          <w:i w:val="0"/>
          <w:color w:val="59595B"/>
          <w:sz w:val="20"/>
        </w:rPr>
        <w:t>Network Detective by RapidFire Tools performs automated, deep-scan assessments that go far beyond surface-level checks. Each monthly scan produces detailed reports covering network vulnerabilities, Active Directory health, M365 Secure Score analysis, external attack surface exposure, and compliance readiness (HIPAA, PCI, NIST, CMMC). The tool also generates executive-ready risk scorecards that track your security posture over time — giving MasonWest leadership clear visibility into risk trends across all 4 locations without requiring manual audit effort.</w:t>
      </w:r>
    </w:p>
    <w:p>
      <w:pPr>
        <w:spacing w:before="160" w:after="40"/>
      </w:pPr>
      <w:r>
        <w:rPr>
          <w:rFonts w:ascii="Open Sans" w:hAnsi="Open Sans"/>
          <w:b/>
          <w:i w:val="0"/>
          <w:color w:val="006DB6"/>
          <w:sz w:val="22"/>
        </w:rPr>
        <w:t>Virtual Staff Support</w:t>
      </w:r>
    </w:p>
    <w:p>
      <w:pPr>
        <w:spacing w:after="40"/>
      </w:pPr>
      <w:r>
        <w:rPr>
          <w:rFonts w:ascii="Open Sans" w:hAnsi="Open Sans"/>
          <w:b w:val="0"/>
          <w:i/>
          <w:color w:val="1A1A2E"/>
          <w:sz w:val="20"/>
        </w:rPr>
        <w:t>74 hours/month of blended US and offshore technical support with 50/50 day/night coverage.</w:t>
      </w:r>
    </w:p>
    <w:p>
      <w:pPr>
        <w:spacing w:after="120"/>
      </w:pPr>
      <w:r>
        <w:rPr>
          <w:rFonts w:ascii="Open Sans" w:hAnsi="Open Sans"/>
          <w:b/>
          <w:i w:val="0"/>
          <w:color w:val="F67D4B"/>
          <w:sz w:val="20"/>
        </w:rPr>
        <w:t xml:space="preserve">Why: </w:t>
      </w:r>
      <w:r>
        <w:rPr>
          <w:rFonts w:ascii="Open Sans" w:hAnsi="Open Sans"/>
          <w:b w:val="0"/>
          <w:i w:val="0"/>
          <w:color w:val="59595B"/>
          <w:sz w:val="20"/>
        </w:rPr>
        <w:t>With 74 users, engineering-heavy applications, and integrations between Sage 100, Salesforce, and Microsoft 365, the support demand is continuous. The blended model provides US-based technicians for complex escalations during business hours, India-based night-shift staff for cost-effective daytime coverage, and India-based day-shift staff for after-hours support — ensuring issues don’t wait until the next business day.</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Endpoint &amp; Device Security</w:t>
            </w:r>
          </w:p>
        </w:tc>
      </w:tr>
    </w:tbl>
    <w:p>
      <w:pPr>
        <w:spacing w:after="160"/>
      </w:pPr>
      <w:r>
        <w:rPr>
          <w:rFonts w:ascii="Open Sans" w:hAnsi="Open Sans"/>
          <w:b w:val="0"/>
          <w:i w:val="0"/>
          <w:color w:val="59595B"/>
          <w:sz w:val="20"/>
        </w:rPr>
        <w:t>Enterprise cybersecurity stack deployed across all 80 managed endpoints, providing layered protection from endpoint to network edge.</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3168"/>
            <w:shd w:fill="006DB6" w:val="clear"/>
          </w:tcPr>
          <w:p>
            <w:r/>
            <w:r>
              <w:rPr>
                <w:rFonts w:ascii="Open Sans" w:hAnsi="Open Sans"/>
                <w:b/>
                <w:i w:val="0"/>
                <w:color w:val="FFFFFF"/>
                <w:sz w:val="18"/>
              </w:rPr>
              <w:t>Service</w:t>
            </w:r>
          </w:p>
        </w:tc>
        <w:tc>
          <w:tcPr>
            <w:tcW w:type="dxa" w:w="1440"/>
            <w:shd w:fill="006DB6" w:val="clear"/>
          </w:tcPr>
          <w:p>
            <w:r/>
            <w:r>
              <w:rPr>
                <w:rFonts w:ascii="Open Sans" w:hAnsi="Open Sans"/>
                <w:b/>
                <w:i w:val="0"/>
                <w:color w:val="FFFFFF"/>
                <w:sz w:val="18"/>
              </w:rPr>
              <w:t>Unit</w:t>
            </w:r>
          </w:p>
        </w:tc>
        <w:tc>
          <w:tcPr>
            <w:tcW w:type="dxa" w:w="720"/>
            <w:shd w:fill="006DB6" w:val="clear"/>
          </w:tcPr>
          <w:p>
            <w:r/>
            <w:r>
              <w:rPr>
                <w:rFonts w:ascii="Open Sans" w:hAnsi="Open Sans"/>
                <w:b/>
                <w:i w:val="0"/>
                <w:color w:val="FFFFFF"/>
                <w:sz w:val="18"/>
              </w:rPr>
              <w:t>Qty</w:t>
            </w:r>
          </w:p>
        </w:tc>
        <w:tc>
          <w:tcPr>
            <w:tcW w:type="dxa" w:w="1296"/>
            <w:shd w:fill="006DB6" w:val="clear"/>
          </w:tcPr>
          <w:p>
            <w:r/>
            <w:r>
              <w:rPr>
                <w:rFonts w:ascii="Open Sans" w:hAnsi="Open Sans"/>
                <w:b/>
                <w:i w:val="0"/>
                <w:color w:val="FFFFFF"/>
                <w:sz w:val="18"/>
              </w:rPr>
              <w:t>Unit Price</w:t>
            </w:r>
          </w:p>
        </w:tc>
        <w:tc>
          <w:tcPr>
            <w:tcW w:type="dxa" w:w="1440"/>
            <w:shd w:fill="006DB6" w:val="clear"/>
          </w:tcPr>
          <w:p>
            <w:r/>
            <w:r>
              <w:rPr>
                <w:rFonts w:ascii="Open Sans" w:hAnsi="Open Sans"/>
                <w:b/>
                <w:i w:val="0"/>
                <w:color w:val="FFFFFF"/>
                <w:sz w:val="18"/>
              </w:rPr>
              <w:t>Monthly</w:t>
            </w:r>
          </w:p>
        </w:tc>
      </w:tr>
      <w:tr>
        <w:tc>
          <w:tcPr>
            <w:tcW w:type="dxa" w:w="3168"/>
          </w:tcPr>
          <w:p>
            <w:r/>
            <w:r>
              <w:rPr>
                <w:rFonts w:ascii="Open Sans" w:hAnsi="Open Sans"/>
                <w:b w:val="0"/>
                <w:i w:val="0"/>
                <w:color w:val="59595B"/>
                <w:sz w:val="18"/>
              </w:rPr>
              <w:t>CrowdStrike Falcon EDR</w:t>
            </w:r>
          </w:p>
        </w:tc>
        <w:tc>
          <w:tcPr>
            <w:tcW w:type="dxa" w:w="1440"/>
          </w:tcPr>
          <w:p>
            <w:r/>
            <w:r>
              <w:rPr>
                <w:rFonts w:ascii="Open Sans" w:hAnsi="Open Sans"/>
                <w:b w:val="0"/>
                <w:i w:val="0"/>
                <w:color w:val="59595B"/>
                <w:sz w:val="18"/>
              </w:rPr>
              <w:t>Per endpoint</w:t>
            </w:r>
          </w:p>
        </w:tc>
        <w:tc>
          <w:tcPr>
            <w:tcW w:type="dxa" w:w="720"/>
          </w:tcPr>
          <w:p>
            <w:r/>
            <w:r>
              <w:rPr>
                <w:rFonts w:ascii="Open Sans" w:hAnsi="Open Sans"/>
                <w:b w:val="0"/>
                <w:i w:val="0"/>
                <w:color w:val="59595B"/>
                <w:sz w:val="18"/>
              </w:rPr>
              <w:t>80</w:t>
            </w:r>
          </w:p>
        </w:tc>
        <w:tc>
          <w:tcPr>
            <w:tcW w:type="dxa" w:w="1296"/>
          </w:tcPr>
          <w:p>
            <w:r/>
            <w:r>
              <w:rPr>
                <w:rFonts w:ascii="Open Sans" w:hAnsi="Open Sans"/>
                <w:b w:val="0"/>
                <w:i w:val="0"/>
                <w:color w:val="59595B"/>
                <w:sz w:val="18"/>
              </w:rPr>
              <w:t>$8.50</w:t>
            </w:r>
          </w:p>
        </w:tc>
        <w:tc>
          <w:tcPr>
            <w:tcW w:type="dxa" w:w="1440"/>
          </w:tcPr>
          <w:p>
            <w:r/>
            <w:r>
              <w:rPr>
                <w:rFonts w:ascii="Open Sans" w:hAnsi="Open Sans"/>
                <w:b w:val="0"/>
                <w:i w:val="0"/>
                <w:color w:val="59595B"/>
                <w:sz w:val="18"/>
              </w:rPr>
              <w:t>$680.00</w:t>
            </w:r>
          </w:p>
        </w:tc>
      </w:tr>
      <w:tr>
        <w:tc>
          <w:tcPr>
            <w:tcW w:type="dxa" w:w="3168"/>
          </w:tcPr>
          <w:p>
            <w:r/>
            <w:r>
              <w:rPr>
                <w:rFonts w:ascii="Open Sans" w:hAnsi="Open Sans"/>
                <w:b w:val="0"/>
                <w:i w:val="0"/>
                <w:color w:val="59595B"/>
                <w:sz w:val="18"/>
              </w:rPr>
              <w:t>Huntress Managed Detection</w:t>
            </w:r>
          </w:p>
        </w:tc>
        <w:tc>
          <w:tcPr>
            <w:tcW w:type="dxa" w:w="1440"/>
          </w:tcPr>
          <w:p>
            <w:r/>
            <w:r>
              <w:rPr>
                <w:rFonts w:ascii="Open Sans" w:hAnsi="Open Sans"/>
                <w:b w:val="0"/>
                <w:i w:val="0"/>
                <w:color w:val="59595B"/>
                <w:sz w:val="18"/>
              </w:rPr>
              <w:t>Per endpoint</w:t>
            </w:r>
          </w:p>
        </w:tc>
        <w:tc>
          <w:tcPr>
            <w:tcW w:type="dxa" w:w="720"/>
          </w:tcPr>
          <w:p>
            <w:r/>
            <w:r>
              <w:rPr>
                <w:rFonts w:ascii="Open Sans" w:hAnsi="Open Sans"/>
                <w:b w:val="0"/>
                <w:i w:val="0"/>
                <w:color w:val="59595B"/>
                <w:sz w:val="18"/>
              </w:rPr>
              <w:t>80</w:t>
            </w:r>
          </w:p>
        </w:tc>
        <w:tc>
          <w:tcPr>
            <w:tcW w:type="dxa" w:w="1296"/>
          </w:tcPr>
          <w:p>
            <w:r/>
            <w:r>
              <w:rPr>
                <w:rFonts w:ascii="Open Sans" w:hAnsi="Open Sans"/>
                <w:b w:val="0"/>
                <w:i w:val="0"/>
                <w:color w:val="59595B"/>
                <w:sz w:val="18"/>
              </w:rPr>
              <w:t>$6.00</w:t>
            </w:r>
          </w:p>
        </w:tc>
        <w:tc>
          <w:tcPr>
            <w:tcW w:type="dxa" w:w="1440"/>
          </w:tcPr>
          <w:p>
            <w:r/>
            <w:r>
              <w:rPr>
                <w:rFonts w:ascii="Open Sans" w:hAnsi="Open Sans"/>
                <w:b w:val="0"/>
                <w:i w:val="0"/>
                <w:color w:val="59595B"/>
                <w:sz w:val="18"/>
              </w:rPr>
              <w:t>$480.00</w:t>
            </w:r>
          </w:p>
        </w:tc>
      </w:tr>
      <w:tr>
        <w:tc>
          <w:tcPr>
            <w:tcW w:type="dxa" w:w="3168"/>
          </w:tcPr>
          <w:p>
            <w:r/>
            <w:r>
              <w:rPr>
                <w:rFonts w:ascii="Open Sans" w:hAnsi="Open Sans"/>
                <w:b w:val="0"/>
                <w:i w:val="0"/>
                <w:color w:val="59595B"/>
                <w:sz w:val="18"/>
              </w:rPr>
              <w:t>My Secure Internet (Cisco Umbrella)</w:t>
            </w:r>
          </w:p>
        </w:tc>
        <w:tc>
          <w:tcPr>
            <w:tcW w:type="dxa" w:w="1440"/>
          </w:tcPr>
          <w:p>
            <w:r/>
            <w:r>
              <w:rPr>
                <w:rFonts w:ascii="Open Sans" w:hAnsi="Open Sans"/>
                <w:b w:val="0"/>
                <w:i w:val="0"/>
                <w:color w:val="59595B"/>
                <w:sz w:val="18"/>
              </w:rPr>
              <w:t>Per endpoint</w:t>
            </w:r>
          </w:p>
        </w:tc>
        <w:tc>
          <w:tcPr>
            <w:tcW w:type="dxa" w:w="720"/>
          </w:tcPr>
          <w:p>
            <w:r/>
            <w:r>
              <w:rPr>
                <w:rFonts w:ascii="Open Sans" w:hAnsi="Open Sans"/>
                <w:b w:val="0"/>
                <w:i w:val="0"/>
                <w:color w:val="59595B"/>
                <w:sz w:val="18"/>
              </w:rPr>
              <w:t>80</w:t>
            </w:r>
          </w:p>
        </w:tc>
        <w:tc>
          <w:tcPr>
            <w:tcW w:type="dxa" w:w="1296"/>
          </w:tcPr>
          <w:p>
            <w:r/>
            <w:r>
              <w:rPr>
                <w:rFonts w:ascii="Open Sans" w:hAnsi="Open Sans"/>
                <w:b w:val="0"/>
                <w:i w:val="0"/>
                <w:color w:val="59595B"/>
                <w:sz w:val="18"/>
              </w:rPr>
              <w:t>$6.00</w:t>
            </w:r>
          </w:p>
        </w:tc>
        <w:tc>
          <w:tcPr>
            <w:tcW w:type="dxa" w:w="1440"/>
          </w:tcPr>
          <w:p>
            <w:r/>
            <w:r>
              <w:rPr>
                <w:rFonts w:ascii="Open Sans" w:hAnsi="Open Sans"/>
                <w:b w:val="0"/>
                <w:i w:val="0"/>
                <w:color w:val="59595B"/>
                <w:sz w:val="18"/>
              </w:rPr>
              <w:t>$480.00</w:t>
            </w:r>
          </w:p>
        </w:tc>
      </w:tr>
      <w:tr>
        <w:tc>
          <w:tcPr>
            <w:tcW w:type="dxa" w:w="3168"/>
          </w:tcPr>
          <w:p>
            <w:r/>
            <w:r>
              <w:rPr>
                <w:rFonts w:ascii="Open Sans" w:hAnsi="Open Sans"/>
                <w:b w:val="0"/>
                <w:i w:val="0"/>
                <w:color w:val="59595B"/>
                <w:sz w:val="18"/>
              </w:rPr>
              <w:t>Patch Mgmt (Endpoint Central Plus)</w:t>
            </w:r>
          </w:p>
        </w:tc>
        <w:tc>
          <w:tcPr>
            <w:tcW w:type="dxa" w:w="1440"/>
          </w:tcPr>
          <w:p>
            <w:r/>
            <w:r>
              <w:rPr>
                <w:rFonts w:ascii="Open Sans" w:hAnsi="Open Sans"/>
                <w:b w:val="0"/>
                <w:i w:val="0"/>
                <w:color w:val="59595B"/>
                <w:sz w:val="18"/>
              </w:rPr>
              <w:t>Per endpoint</w:t>
            </w:r>
          </w:p>
        </w:tc>
        <w:tc>
          <w:tcPr>
            <w:tcW w:type="dxa" w:w="720"/>
          </w:tcPr>
          <w:p>
            <w:r/>
            <w:r>
              <w:rPr>
                <w:rFonts w:ascii="Open Sans" w:hAnsi="Open Sans"/>
                <w:b w:val="0"/>
                <w:i w:val="0"/>
                <w:color w:val="59595B"/>
                <w:sz w:val="18"/>
              </w:rPr>
              <w:t>80</w:t>
            </w:r>
          </w:p>
        </w:tc>
        <w:tc>
          <w:tcPr>
            <w:tcW w:type="dxa" w:w="1296"/>
          </w:tcPr>
          <w:p>
            <w:r/>
            <w:r>
              <w:rPr>
                <w:rFonts w:ascii="Open Sans" w:hAnsi="Open Sans"/>
                <w:b w:val="0"/>
                <w:i w:val="0"/>
                <w:color w:val="59595B"/>
                <w:sz w:val="18"/>
              </w:rPr>
              <w:t>$4.00</w:t>
            </w:r>
          </w:p>
        </w:tc>
        <w:tc>
          <w:tcPr>
            <w:tcW w:type="dxa" w:w="1440"/>
          </w:tcPr>
          <w:p>
            <w:r/>
            <w:r>
              <w:rPr>
                <w:rFonts w:ascii="Open Sans" w:hAnsi="Open Sans"/>
                <w:b w:val="0"/>
                <w:i w:val="0"/>
                <w:color w:val="59595B"/>
                <w:sz w:val="18"/>
              </w:rPr>
              <w:t>$320.00</w:t>
            </w:r>
          </w:p>
        </w:tc>
      </w:tr>
      <w:tr>
        <w:tc>
          <w:tcPr>
            <w:tcW w:type="dxa" w:w="3168"/>
          </w:tcPr>
          <w:p>
            <w:r/>
            <w:r>
              <w:rPr>
                <w:rFonts w:ascii="Open Sans" w:hAnsi="Open Sans"/>
                <w:b w:val="0"/>
                <w:i w:val="0"/>
                <w:color w:val="59595B"/>
                <w:sz w:val="18"/>
              </w:rPr>
              <w:t>My Remote (ScreenConnect)</w:t>
            </w:r>
          </w:p>
        </w:tc>
        <w:tc>
          <w:tcPr>
            <w:tcW w:type="dxa" w:w="1440"/>
          </w:tcPr>
          <w:p>
            <w:r/>
            <w:r>
              <w:rPr>
                <w:rFonts w:ascii="Open Sans" w:hAnsi="Open Sans"/>
                <w:b w:val="0"/>
                <w:i w:val="0"/>
                <w:color w:val="59595B"/>
                <w:sz w:val="18"/>
              </w:rPr>
              <w:t>Per endpoint</w:t>
            </w:r>
          </w:p>
        </w:tc>
        <w:tc>
          <w:tcPr>
            <w:tcW w:type="dxa" w:w="720"/>
          </w:tcPr>
          <w:p>
            <w:r/>
            <w:r>
              <w:rPr>
                <w:rFonts w:ascii="Open Sans" w:hAnsi="Open Sans"/>
                <w:b w:val="0"/>
                <w:i w:val="0"/>
                <w:color w:val="59595B"/>
                <w:sz w:val="18"/>
              </w:rPr>
              <w:t>80</w:t>
            </w:r>
          </w:p>
        </w:tc>
        <w:tc>
          <w:tcPr>
            <w:tcW w:type="dxa" w:w="1296"/>
          </w:tcPr>
          <w:p>
            <w:r/>
            <w:r>
              <w:rPr>
                <w:rFonts w:ascii="Open Sans" w:hAnsi="Open Sans"/>
                <w:b w:val="0"/>
                <w:i w:val="0"/>
                <w:color w:val="59595B"/>
                <w:sz w:val="18"/>
              </w:rPr>
              <w:t>$2.00</w:t>
            </w:r>
          </w:p>
        </w:tc>
        <w:tc>
          <w:tcPr>
            <w:tcW w:type="dxa" w:w="1440"/>
          </w:tcPr>
          <w:p>
            <w:r/>
            <w:r>
              <w:rPr>
                <w:rFonts w:ascii="Open Sans" w:hAnsi="Open Sans"/>
                <w:b w:val="0"/>
                <w:i w:val="0"/>
                <w:color w:val="59595B"/>
                <w:sz w:val="18"/>
              </w:rPr>
              <w:t>$160.00</w:t>
            </w:r>
          </w:p>
        </w:tc>
      </w:tr>
      <w:tr>
        <w:tc>
          <w:tcPr>
            <w:tcW w:type="dxa" w:w="3168"/>
            <w:shd w:fill="F8F9FA" w:val="clear"/>
          </w:tcPr>
          <w:p>
            <w:r/>
            <w:r>
              <w:rPr>
                <w:rFonts w:ascii="Open Sans" w:hAnsi="Open Sans"/>
                <w:b/>
                <w:i w:val="0"/>
                <w:color w:val="1A1A2E"/>
                <w:sz w:val="18"/>
              </w:rPr>
              <w:t>SUBTOTAL — ENDPOINT SECURITY</w:t>
            </w:r>
          </w:p>
        </w:tc>
        <w:tc>
          <w:tcPr>
            <w:tcW w:type="dxa" w:w="1440"/>
            <w:shd w:fill="F8F9FA" w:val="clear"/>
          </w:tcPr>
          <w:p>
            <w:r/>
            <w:r>
              <w:rPr>
                <w:rFonts w:ascii="Open Sans" w:hAnsi="Open Sans"/>
                <w:b/>
                <w:i w:val="0"/>
                <w:color w:val="1A1A2E"/>
                <w:sz w:val="18"/>
              </w:rPr>
            </w:r>
          </w:p>
        </w:tc>
        <w:tc>
          <w:tcPr>
            <w:tcW w:type="dxa" w:w="720"/>
            <w:shd w:fill="F8F9FA" w:val="clear"/>
          </w:tcPr>
          <w:p>
            <w:r/>
            <w:r>
              <w:rPr>
                <w:rFonts w:ascii="Open Sans" w:hAnsi="Open Sans"/>
                <w:b/>
                <w:i w:val="0"/>
                <w:color w:val="1A1A2E"/>
                <w:sz w:val="18"/>
              </w:rPr>
            </w:r>
          </w:p>
        </w:tc>
        <w:tc>
          <w:tcPr>
            <w:tcW w:type="dxa" w:w="1296"/>
            <w:shd w:fill="F8F9FA" w:val="clear"/>
          </w:tcPr>
          <w:p>
            <w:r/>
            <w:r>
              <w:rPr>
                <w:rFonts w:ascii="Open Sans" w:hAnsi="Open Sans"/>
                <w:b/>
                <w:i w:val="0"/>
                <w:color w:val="1A1A2E"/>
                <w:sz w:val="18"/>
              </w:rPr>
            </w:r>
          </w:p>
        </w:tc>
        <w:tc>
          <w:tcPr>
            <w:tcW w:type="dxa" w:w="1440"/>
            <w:shd w:fill="F8F9FA" w:val="clear"/>
          </w:tcPr>
          <w:p>
            <w:r/>
            <w:r>
              <w:rPr>
                <w:rFonts w:ascii="Open Sans" w:hAnsi="Open Sans"/>
                <w:b/>
                <w:i w:val="0"/>
                <w:color w:val="1A1A2E"/>
                <w:sz w:val="18"/>
              </w:rPr>
              <w:t>$2,120.00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Email Security &amp; Compliance</w:t>
            </w:r>
          </w:p>
        </w:tc>
      </w:tr>
    </w:tbl>
    <w:p>
      <w:pPr>
        <w:spacing w:after="160"/>
      </w:pPr>
      <w:r>
        <w:rPr>
          <w:rFonts w:ascii="Open Sans" w:hAnsi="Open Sans"/>
          <w:b w:val="0"/>
          <w:i w:val="0"/>
          <w:color w:val="59595B"/>
          <w:sz w:val="20"/>
        </w:rPr>
        <w:t>Advanced email protection for all 74 Microsoft 365 users with domain authentication monitoring and monthly security assessments across all 4 sites.</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3168"/>
            <w:shd w:fill="006DB6" w:val="clear"/>
          </w:tcPr>
          <w:p>
            <w:r/>
            <w:r>
              <w:rPr>
                <w:rFonts w:ascii="Open Sans" w:hAnsi="Open Sans"/>
                <w:b/>
                <w:i w:val="0"/>
                <w:color w:val="FFFFFF"/>
                <w:sz w:val="18"/>
              </w:rPr>
              <w:t>Service</w:t>
            </w:r>
          </w:p>
        </w:tc>
        <w:tc>
          <w:tcPr>
            <w:tcW w:type="dxa" w:w="1440"/>
            <w:shd w:fill="006DB6" w:val="clear"/>
          </w:tcPr>
          <w:p>
            <w:r/>
            <w:r>
              <w:rPr>
                <w:rFonts w:ascii="Open Sans" w:hAnsi="Open Sans"/>
                <w:b/>
                <w:i w:val="0"/>
                <w:color w:val="FFFFFF"/>
                <w:sz w:val="18"/>
              </w:rPr>
              <w:t>Unit</w:t>
            </w:r>
          </w:p>
        </w:tc>
        <w:tc>
          <w:tcPr>
            <w:tcW w:type="dxa" w:w="720"/>
            <w:shd w:fill="006DB6" w:val="clear"/>
          </w:tcPr>
          <w:p>
            <w:r/>
            <w:r>
              <w:rPr>
                <w:rFonts w:ascii="Open Sans" w:hAnsi="Open Sans"/>
                <w:b/>
                <w:i w:val="0"/>
                <w:color w:val="FFFFFF"/>
                <w:sz w:val="18"/>
              </w:rPr>
              <w:t>Qty</w:t>
            </w:r>
          </w:p>
        </w:tc>
        <w:tc>
          <w:tcPr>
            <w:tcW w:type="dxa" w:w="1296"/>
            <w:shd w:fill="006DB6" w:val="clear"/>
          </w:tcPr>
          <w:p>
            <w:r/>
            <w:r>
              <w:rPr>
                <w:rFonts w:ascii="Open Sans" w:hAnsi="Open Sans"/>
                <w:b/>
                <w:i w:val="0"/>
                <w:color w:val="FFFFFF"/>
                <w:sz w:val="18"/>
              </w:rPr>
              <w:t>Unit Price</w:t>
            </w:r>
          </w:p>
        </w:tc>
        <w:tc>
          <w:tcPr>
            <w:tcW w:type="dxa" w:w="1440"/>
            <w:shd w:fill="006DB6" w:val="clear"/>
          </w:tcPr>
          <w:p>
            <w:r/>
            <w:r>
              <w:rPr>
                <w:rFonts w:ascii="Open Sans" w:hAnsi="Open Sans"/>
                <w:b/>
                <w:i w:val="0"/>
                <w:color w:val="FFFFFF"/>
                <w:sz w:val="18"/>
              </w:rPr>
              <w:t>Monthly</w:t>
            </w:r>
          </w:p>
        </w:tc>
      </w:tr>
      <w:tr>
        <w:tc>
          <w:tcPr>
            <w:tcW w:type="dxa" w:w="3168"/>
          </w:tcPr>
          <w:p>
            <w:r/>
            <w:r>
              <w:rPr>
                <w:rFonts w:ascii="Open Sans" w:hAnsi="Open Sans"/>
                <w:b w:val="0"/>
                <w:i w:val="0"/>
                <w:color w:val="59595B"/>
                <w:sz w:val="18"/>
              </w:rPr>
              <w:t>Inky Anti-Phishing (Anti-Spam Pro)</w:t>
            </w:r>
          </w:p>
        </w:tc>
        <w:tc>
          <w:tcPr>
            <w:tcW w:type="dxa" w:w="1440"/>
          </w:tcPr>
          <w:p>
            <w:r/>
            <w:r>
              <w:rPr>
                <w:rFonts w:ascii="Open Sans" w:hAnsi="Open Sans"/>
                <w:b w:val="0"/>
                <w:i w:val="0"/>
                <w:color w:val="59595B"/>
                <w:sz w:val="18"/>
              </w:rPr>
              <w:t>Per user</w:t>
            </w:r>
          </w:p>
        </w:tc>
        <w:tc>
          <w:tcPr>
            <w:tcW w:type="dxa" w:w="720"/>
          </w:tcPr>
          <w:p>
            <w:r/>
            <w:r>
              <w:rPr>
                <w:rFonts w:ascii="Open Sans" w:hAnsi="Open Sans"/>
                <w:b w:val="0"/>
                <w:i w:val="0"/>
                <w:color w:val="59595B"/>
                <w:sz w:val="18"/>
              </w:rPr>
              <w:t>74</w:t>
            </w:r>
          </w:p>
        </w:tc>
        <w:tc>
          <w:tcPr>
            <w:tcW w:type="dxa" w:w="1296"/>
          </w:tcPr>
          <w:p>
            <w:r/>
            <w:r>
              <w:rPr>
                <w:rFonts w:ascii="Open Sans" w:hAnsi="Open Sans"/>
                <w:b w:val="0"/>
                <w:i w:val="0"/>
                <w:color w:val="59595B"/>
                <w:sz w:val="18"/>
              </w:rPr>
              <w:t>$10.25</w:t>
            </w:r>
          </w:p>
        </w:tc>
        <w:tc>
          <w:tcPr>
            <w:tcW w:type="dxa" w:w="1440"/>
          </w:tcPr>
          <w:p>
            <w:r/>
            <w:r>
              <w:rPr>
                <w:rFonts w:ascii="Open Sans" w:hAnsi="Open Sans"/>
                <w:b w:val="0"/>
                <w:i w:val="0"/>
                <w:color w:val="59595B"/>
                <w:sz w:val="18"/>
              </w:rPr>
              <w:t>$758.50</w:t>
            </w:r>
          </w:p>
        </w:tc>
      </w:tr>
      <w:tr>
        <w:tc>
          <w:tcPr>
            <w:tcW w:type="dxa" w:w="3168"/>
          </w:tcPr>
          <w:p>
            <w:r/>
            <w:r>
              <w:rPr>
                <w:rFonts w:ascii="Open Sans" w:hAnsi="Open Sans"/>
                <w:b w:val="0"/>
                <w:i w:val="0"/>
                <w:color w:val="59595B"/>
                <w:sz w:val="18"/>
              </w:rPr>
              <w:t>DMARC/DKIM Monitoring</w:t>
            </w:r>
          </w:p>
        </w:tc>
        <w:tc>
          <w:tcPr>
            <w:tcW w:type="dxa" w:w="1440"/>
          </w:tcPr>
          <w:p>
            <w:r/>
            <w:r>
              <w:rPr>
                <w:rFonts w:ascii="Open Sans" w:hAnsi="Open Sans"/>
                <w:b w:val="0"/>
                <w:i w:val="0"/>
                <w:color w:val="59595B"/>
                <w:sz w:val="18"/>
              </w:rPr>
              <w:t>Per domain</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$20.00</w:t>
            </w:r>
          </w:p>
        </w:tc>
        <w:tc>
          <w:tcPr>
            <w:tcW w:type="dxa" w:w="1440"/>
          </w:tcPr>
          <w:p>
            <w:r/>
            <w:r>
              <w:rPr>
                <w:rFonts w:ascii="Open Sans" w:hAnsi="Open Sans"/>
                <w:b w:val="0"/>
                <w:i w:val="0"/>
                <w:color w:val="59595B"/>
                <w:sz w:val="18"/>
              </w:rPr>
              <w:t>$20.00</w:t>
            </w:r>
          </w:p>
        </w:tc>
      </w:tr>
      <w:tr>
        <w:tc>
          <w:tcPr>
            <w:tcW w:type="dxa" w:w="3168"/>
          </w:tcPr>
          <w:p>
            <w:r/>
            <w:r>
              <w:rPr>
                <w:rFonts w:ascii="Open Sans" w:hAnsi="Open Sans"/>
                <w:b w:val="0"/>
                <w:i w:val="0"/>
                <w:color w:val="59595B"/>
                <w:sz w:val="18"/>
              </w:rPr>
              <w:t>Site Assessment (Network Detective)</w:t>
            </w:r>
          </w:p>
        </w:tc>
        <w:tc>
          <w:tcPr>
            <w:tcW w:type="dxa" w:w="1440"/>
          </w:tcPr>
          <w:p>
            <w:r/>
            <w:r>
              <w:rPr>
                <w:rFonts w:ascii="Open Sans" w:hAnsi="Open Sans"/>
                <w:b w:val="0"/>
                <w:i w:val="0"/>
                <w:color w:val="59595B"/>
                <w:sz w:val="18"/>
              </w:rPr>
              <w:t>Per site</w:t>
            </w:r>
          </w:p>
        </w:tc>
        <w:tc>
          <w:tcPr>
            <w:tcW w:type="dxa" w:w="720"/>
          </w:tcPr>
          <w:p>
            <w:r/>
            <w:r>
              <w:rPr>
                <w:rFonts w:ascii="Open Sans" w:hAnsi="Open Sans"/>
                <w:b w:val="0"/>
                <w:i w:val="0"/>
                <w:color w:val="59595B"/>
                <w:sz w:val="18"/>
              </w:rPr>
              <w:t>4</w:t>
            </w:r>
          </w:p>
        </w:tc>
        <w:tc>
          <w:tcPr>
            <w:tcW w:type="dxa" w:w="1296"/>
          </w:tcPr>
          <w:p>
            <w:r/>
            <w:r>
              <w:rPr>
                <w:rFonts w:ascii="Open Sans" w:hAnsi="Open Sans"/>
                <w:b w:val="0"/>
                <w:i w:val="0"/>
                <w:color w:val="59595B"/>
                <w:sz w:val="18"/>
              </w:rPr>
              <w:t>$50.00</w:t>
            </w:r>
          </w:p>
        </w:tc>
        <w:tc>
          <w:tcPr>
            <w:tcW w:type="dxa" w:w="1440"/>
          </w:tcPr>
          <w:p>
            <w:r/>
            <w:r>
              <w:rPr>
                <w:rFonts w:ascii="Open Sans" w:hAnsi="Open Sans"/>
                <w:b w:val="0"/>
                <w:i w:val="0"/>
                <w:color w:val="59595B"/>
                <w:sz w:val="18"/>
              </w:rPr>
              <w:t>$200.00</w:t>
            </w:r>
          </w:p>
        </w:tc>
      </w:tr>
      <w:tr>
        <w:tc>
          <w:tcPr>
            <w:tcW w:type="dxa" w:w="3168"/>
            <w:shd w:fill="F8F9FA" w:val="clear"/>
          </w:tcPr>
          <w:p>
            <w:r/>
            <w:r>
              <w:rPr>
                <w:rFonts w:ascii="Open Sans" w:hAnsi="Open Sans"/>
                <w:b/>
                <w:i w:val="0"/>
                <w:color w:val="1A1A2E"/>
                <w:sz w:val="18"/>
              </w:rPr>
              <w:t>SUBTOTAL — EMAIL &amp; COMPLIANCE</w:t>
            </w:r>
          </w:p>
        </w:tc>
        <w:tc>
          <w:tcPr>
            <w:tcW w:type="dxa" w:w="1440"/>
            <w:shd w:fill="F8F9FA" w:val="clear"/>
          </w:tcPr>
          <w:p>
            <w:r/>
            <w:r>
              <w:rPr>
                <w:rFonts w:ascii="Open Sans" w:hAnsi="Open Sans"/>
                <w:b/>
                <w:i w:val="0"/>
                <w:color w:val="1A1A2E"/>
                <w:sz w:val="18"/>
              </w:rPr>
            </w:r>
          </w:p>
        </w:tc>
        <w:tc>
          <w:tcPr>
            <w:tcW w:type="dxa" w:w="720"/>
            <w:shd w:fill="F8F9FA" w:val="clear"/>
          </w:tcPr>
          <w:p>
            <w:r/>
            <w:r>
              <w:rPr>
                <w:rFonts w:ascii="Open Sans" w:hAnsi="Open Sans"/>
                <w:b/>
                <w:i w:val="0"/>
                <w:color w:val="1A1A2E"/>
                <w:sz w:val="18"/>
              </w:rPr>
            </w:r>
          </w:p>
        </w:tc>
        <w:tc>
          <w:tcPr>
            <w:tcW w:type="dxa" w:w="1296"/>
            <w:shd w:fill="F8F9FA" w:val="clear"/>
          </w:tcPr>
          <w:p>
            <w:r/>
            <w:r>
              <w:rPr>
                <w:rFonts w:ascii="Open Sans" w:hAnsi="Open Sans"/>
                <w:b/>
                <w:i w:val="0"/>
                <w:color w:val="1A1A2E"/>
                <w:sz w:val="18"/>
              </w:rPr>
            </w:r>
          </w:p>
        </w:tc>
        <w:tc>
          <w:tcPr>
            <w:tcW w:type="dxa" w:w="1440"/>
            <w:shd w:fill="F8F9FA" w:val="clear"/>
          </w:tcPr>
          <w:p>
            <w:r/>
            <w:r>
              <w:rPr>
                <w:rFonts w:ascii="Open Sans" w:hAnsi="Open Sans"/>
                <w:b/>
                <w:i w:val="0"/>
                <w:color w:val="1A1A2E"/>
                <w:sz w:val="18"/>
              </w:rPr>
              <w:t>$978.50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Optional Add-On — Veeam 365 Backup</w:t>
            </w:r>
          </w:p>
        </w:tc>
      </w:tr>
    </w:tbl>
    <w:p>
      <w:pPr>
        <w:spacing w:after="160"/>
      </w:pPr>
      <w:r>
        <w:rPr>
          <w:rFonts w:ascii="Open Sans" w:hAnsi="Open Sans"/>
          <w:b w:val="0"/>
          <w:i w:val="0"/>
          <w:color w:val="59595B"/>
          <w:sz w:val="20"/>
        </w:rPr>
        <w:t>Microsoft’s native retention policies provide limited protection against accidental deletion, ransomware, and compliance-driven data recovery needs. Veeam Backup for Microsoft 365 provides independent, automated backup of Exchange Online, SharePoint, OneDrive, and Teams data with granular point-in-time recovery.</w:t>
      </w:r>
    </w:p>
    <w:p>
      <w:pPr>
        <w:spacing w:after="160"/>
      </w:pPr>
      <w:r>
        <w:rPr>
          <w:rFonts w:ascii="Open Sans" w:hAnsi="Open Sans"/>
          <w:b w:val="0"/>
          <w:i w:val="0"/>
          <w:color w:val="59595B"/>
          <w:sz w:val="20"/>
        </w:rPr>
        <w:t>Technijian recommends assessing MasonWest’s current data volume, retention requirements, and compliance obligations before finalizing backup scope and storage tiers. The pricing below reflects the per-user backup license — storage costs will be scoped during the assessment.</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3168"/>
            <w:shd w:fill="006DB6" w:val="clear"/>
          </w:tcPr>
          <w:p>
            <w:r/>
            <w:r>
              <w:rPr>
                <w:rFonts w:ascii="Open Sans" w:hAnsi="Open Sans"/>
                <w:b/>
                <w:i w:val="0"/>
                <w:color w:val="FFFFFF"/>
                <w:sz w:val="18"/>
              </w:rPr>
              <w:t>Service</w:t>
            </w:r>
          </w:p>
        </w:tc>
        <w:tc>
          <w:tcPr>
            <w:tcW w:type="dxa" w:w="1440"/>
            <w:shd w:fill="006DB6" w:val="clear"/>
          </w:tcPr>
          <w:p>
            <w:r/>
            <w:r>
              <w:rPr>
                <w:rFonts w:ascii="Open Sans" w:hAnsi="Open Sans"/>
                <w:b/>
                <w:i w:val="0"/>
                <w:color w:val="FFFFFF"/>
                <w:sz w:val="18"/>
              </w:rPr>
              <w:t>Unit</w:t>
            </w:r>
          </w:p>
        </w:tc>
        <w:tc>
          <w:tcPr>
            <w:tcW w:type="dxa" w:w="720"/>
            <w:shd w:fill="006DB6" w:val="clear"/>
          </w:tcPr>
          <w:p>
            <w:r/>
            <w:r>
              <w:rPr>
                <w:rFonts w:ascii="Open Sans" w:hAnsi="Open Sans"/>
                <w:b/>
                <w:i w:val="0"/>
                <w:color w:val="FFFFFF"/>
                <w:sz w:val="18"/>
              </w:rPr>
              <w:t>Qty</w:t>
            </w:r>
          </w:p>
        </w:tc>
        <w:tc>
          <w:tcPr>
            <w:tcW w:type="dxa" w:w="1296"/>
            <w:shd w:fill="006DB6" w:val="clear"/>
          </w:tcPr>
          <w:p>
            <w:r/>
            <w:r>
              <w:rPr>
                <w:rFonts w:ascii="Open Sans" w:hAnsi="Open Sans"/>
                <w:b/>
                <w:i w:val="0"/>
                <w:color w:val="FFFFFF"/>
                <w:sz w:val="18"/>
              </w:rPr>
              <w:t>Unit Price</w:t>
            </w:r>
          </w:p>
        </w:tc>
        <w:tc>
          <w:tcPr>
            <w:tcW w:type="dxa" w:w="1440"/>
            <w:shd w:fill="006DB6" w:val="clear"/>
          </w:tcPr>
          <w:p>
            <w:r/>
            <w:r>
              <w:rPr>
                <w:rFonts w:ascii="Open Sans" w:hAnsi="Open Sans"/>
                <w:b/>
                <w:i w:val="0"/>
                <w:color w:val="FFFFFF"/>
                <w:sz w:val="18"/>
              </w:rPr>
              <w:t>Monthly</w:t>
            </w:r>
          </w:p>
        </w:tc>
      </w:tr>
      <w:tr>
        <w:tc>
          <w:tcPr>
            <w:tcW w:type="dxa" w:w="3168"/>
          </w:tcPr>
          <w:p>
            <w:r/>
            <w:r>
              <w:rPr>
                <w:rFonts w:ascii="Open Sans" w:hAnsi="Open Sans"/>
                <w:b w:val="0"/>
                <w:i w:val="0"/>
                <w:color w:val="59595B"/>
                <w:sz w:val="18"/>
              </w:rPr>
              <w:t>Veeam 365 Backup</w:t>
            </w:r>
          </w:p>
        </w:tc>
        <w:tc>
          <w:tcPr>
            <w:tcW w:type="dxa" w:w="1440"/>
          </w:tcPr>
          <w:p>
            <w:r/>
            <w:r>
              <w:rPr>
                <w:rFonts w:ascii="Open Sans" w:hAnsi="Open Sans"/>
                <w:b w:val="0"/>
                <w:i w:val="0"/>
                <w:color w:val="59595B"/>
                <w:sz w:val="18"/>
              </w:rPr>
              <w:t>Per user</w:t>
            </w:r>
          </w:p>
        </w:tc>
        <w:tc>
          <w:tcPr>
            <w:tcW w:type="dxa" w:w="720"/>
          </w:tcPr>
          <w:p>
            <w:r/>
            <w:r>
              <w:rPr>
                <w:rFonts w:ascii="Open Sans" w:hAnsi="Open Sans"/>
                <w:b w:val="0"/>
                <w:i w:val="0"/>
                <w:color w:val="59595B"/>
                <w:sz w:val="18"/>
              </w:rPr>
              <w:t>74</w:t>
            </w:r>
          </w:p>
        </w:tc>
        <w:tc>
          <w:tcPr>
            <w:tcW w:type="dxa" w:w="1296"/>
          </w:tcPr>
          <w:p>
            <w:r/>
            <w:r>
              <w:rPr>
                <w:rFonts w:ascii="Open Sans" w:hAnsi="Open Sans"/>
                <w:b w:val="0"/>
                <w:i w:val="0"/>
                <w:color w:val="59595B"/>
                <w:sz w:val="18"/>
              </w:rPr>
              <w:t>$2.50</w:t>
            </w:r>
          </w:p>
        </w:tc>
        <w:tc>
          <w:tcPr>
            <w:tcW w:type="dxa" w:w="1440"/>
          </w:tcPr>
          <w:p>
            <w:r/>
            <w:r>
              <w:rPr>
                <w:rFonts w:ascii="Open Sans" w:hAnsi="Open Sans"/>
                <w:b w:val="0"/>
                <w:i w:val="0"/>
                <w:color w:val="59595B"/>
                <w:sz w:val="18"/>
              </w:rPr>
              <w:t>$185.00</w:t>
            </w:r>
          </w:p>
        </w:tc>
      </w:tr>
    </w:tbl>
    <w:p>
      <w:pPr>
        <w:spacing w:before="120"/>
      </w:pPr>
      <w:r>
        <w:rPr>
          <w:rFonts w:ascii="Open Sans" w:hAnsi="Open Sans"/>
          <w:b/>
          <w:i w:val="0"/>
          <w:color w:val="F67D4B"/>
          <w:sz w:val="20"/>
        </w:rPr>
        <w:t xml:space="preserve">Note: </w:t>
      </w:r>
      <w:r>
        <w:rPr>
          <w:rFonts w:ascii="Open Sans" w:hAnsi="Open Sans"/>
          <w:b w:val="0"/>
          <w:i w:val="0"/>
          <w:color w:val="59595B"/>
          <w:sz w:val="20"/>
        </w:rPr>
        <w:t>Final Veeam 365 pricing will be confirmed after a storage and retention assessment. The assessment will evaluate current mailbox sizes, SharePoint/OneDrive data volume, required retention periods, and any regulatory or compliance requirements. Additional backup storage costs (if applicable) will be quoted separately.</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Virtual Staff — Contracted Support</w:t>
            </w:r>
          </w:p>
        </w:tc>
      </w:tr>
    </w:tbl>
    <w:p>
      <w:pPr>
        <w:spacing w:after="160"/>
      </w:pPr>
      <w:r>
        <w:rPr>
          <w:rFonts w:ascii="Open Sans" w:hAnsi="Open Sans"/>
          <w:b w:val="0"/>
          <w:i w:val="0"/>
          <w:color w:val="59595B"/>
          <w:sz w:val="20"/>
        </w:rPr>
        <w:t>74 hours per month of dedicated remote technical support, split 50/50 between daytime and nighttime coverage. Daytime hours are further split 50/50 between US-based and India-based (night shift) technicians for cost-optimized coverage during business hours.</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560"/>
        <w:gridCol w:w="1560"/>
        <w:gridCol w:w="1560"/>
        <w:gridCol w:w="1560"/>
        <w:gridCol w:w="1560"/>
        <w:gridCol w:w="1560"/>
      </w:tblGrid>
      <w:tr>
        <w:tc>
          <w:tcPr>
            <w:tcW w:type="dxa" w:w="1728"/>
            <w:shd w:fill="006DB6" w:val="clear"/>
          </w:tcPr>
          <w:p>
            <w:r/>
            <w:r>
              <w:rPr>
                <w:rFonts w:ascii="Open Sans" w:hAnsi="Open Sans"/>
                <w:b/>
                <w:i w:val="0"/>
                <w:color w:val="FFFFFF"/>
                <w:sz w:val="18"/>
              </w:rPr>
              <w:t>Role</w:t>
            </w:r>
          </w:p>
        </w:tc>
        <w:tc>
          <w:tcPr>
            <w:tcW w:type="dxa" w:w="1584"/>
            <w:shd w:fill="006DB6" w:val="clear"/>
          </w:tcPr>
          <w:p>
            <w:r/>
            <w:r>
              <w:rPr>
                <w:rFonts w:ascii="Open Sans" w:hAnsi="Open Sans"/>
                <w:b/>
                <w:i w:val="0"/>
                <w:color w:val="FFFFFF"/>
                <w:sz w:val="18"/>
              </w:rPr>
              <w:t>Location</w:t>
            </w:r>
          </w:p>
        </w:tc>
        <w:tc>
          <w:tcPr>
            <w:tcW w:type="dxa" w:w="1872"/>
            <w:shd w:fill="006DB6" w:val="clear"/>
          </w:tcPr>
          <w:p>
            <w:r/>
            <w:r>
              <w:rPr>
                <w:rFonts w:ascii="Open Sans" w:hAnsi="Open Sans"/>
                <w:b/>
                <w:i w:val="0"/>
                <w:color w:val="FFFFFF"/>
                <w:sz w:val="18"/>
              </w:rPr>
              <w:t>Shift</w:t>
            </w:r>
          </w:p>
        </w:tc>
        <w:tc>
          <w:tcPr>
            <w:tcW w:type="dxa" w:w="1008"/>
            <w:shd w:fill="006DB6" w:val="clear"/>
          </w:tcPr>
          <w:p>
            <w:r/>
            <w:r>
              <w:rPr>
                <w:rFonts w:ascii="Open Sans" w:hAnsi="Open Sans"/>
                <w:b/>
                <w:i w:val="0"/>
                <w:color w:val="FFFFFF"/>
                <w:sz w:val="18"/>
              </w:rPr>
              <w:t>Hours/Mo</w:t>
            </w:r>
          </w:p>
        </w:tc>
        <w:tc>
          <w:tcPr>
            <w:tcW w:type="dxa" w:w="1296"/>
            <w:shd w:fill="006DB6" w:val="clear"/>
          </w:tcPr>
          <w:p>
            <w:r/>
            <w:r>
              <w:rPr>
                <w:rFonts w:ascii="Open Sans" w:hAnsi="Open Sans"/>
                <w:b/>
                <w:i w:val="0"/>
                <w:color w:val="FFFFFF"/>
                <w:sz w:val="18"/>
              </w:rPr>
              <w:t>Rate</w:t>
            </w:r>
          </w:p>
        </w:tc>
        <w:tc>
          <w:tcPr>
            <w:tcW w:type="dxa" w:w="1296"/>
            <w:shd w:fill="006DB6" w:val="clear"/>
          </w:tcPr>
          <w:p>
            <w:r/>
            <w:r>
              <w:rPr>
                <w:rFonts w:ascii="Open Sans" w:hAnsi="Open Sans"/>
                <w:b/>
                <w:i w:val="0"/>
                <w:color w:val="FFFFFF"/>
                <w:sz w:val="18"/>
              </w:rPr>
              <w:t>Monthly</w:t>
            </w:r>
          </w:p>
        </w:tc>
      </w:tr>
      <w:tr>
        <w:tc>
          <w:tcPr>
            <w:tcW w:type="dxa" w:w="1728"/>
          </w:tcPr>
          <w:p>
            <w:r/>
            <w:r>
              <w:rPr>
                <w:rFonts w:ascii="Open Sans" w:hAnsi="Open Sans"/>
                <w:b w:val="0"/>
                <w:i w:val="0"/>
                <w:color w:val="59595B"/>
                <w:sz w:val="18"/>
              </w:rPr>
              <w:t>Tech Support</w:t>
            </w:r>
          </w:p>
        </w:tc>
        <w:tc>
          <w:tcPr>
            <w:tcW w:type="dxa" w:w="1584"/>
          </w:tcPr>
          <w:p>
            <w:r/>
            <w:r>
              <w:rPr>
                <w:rFonts w:ascii="Open Sans" w:hAnsi="Open Sans"/>
                <w:b w:val="0"/>
                <w:i w:val="0"/>
                <w:color w:val="59595B"/>
                <w:sz w:val="18"/>
              </w:rPr>
              <w:t>United States</w:t>
            </w:r>
          </w:p>
        </w:tc>
        <w:tc>
          <w:tcPr>
            <w:tcW w:type="dxa" w:w="1872"/>
          </w:tcPr>
          <w:p>
            <w:r/>
            <w:r>
              <w:rPr>
                <w:rFonts w:ascii="Open Sans" w:hAnsi="Open Sans"/>
                <w:b w:val="0"/>
                <w:i w:val="0"/>
                <w:color w:val="59595B"/>
                <w:sz w:val="18"/>
              </w:rPr>
              <w:t>Day (US Biz Hours)</w:t>
            </w:r>
          </w:p>
        </w:tc>
        <w:tc>
          <w:tcPr>
            <w:tcW w:type="dxa" w:w="1008"/>
          </w:tcPr>
          <w:p>
            <w:r/>
            <w:r>
              <w:rPr>
                <w:rFonts w:ascii="Open Sans" w:hAnsi="Open Sans"/>
                <w:b w:val="0"/>
                <w:i w:val="0"/>
                <w:color w:val="59595B"/>
                <w:sz w:val="18"/>
              </w:rPr>
              <w:t>18.5</w:t>
            </w:r>
          </w:p>
        </w:tc>
        <w:tc>
          <w:tcPr>
            <w:tcW w:type="dxa" w:w="1296"/>
          </w:tcPr>
          <w:p>
            <w:r/>
            <w:r>
              <w:rPr>
                <w:rFonts w:ascii="Open Sans" w:hAnsi="Open Sans"/>
                <w:b w:val="0"/>
                <w:i w:val="0"/>
                <w:color w:val="59595B"/>
                <w:sz w:val="18"/>
              </w:rPr>
              <w:t>$150.00/hr</w:t>
            </w:r>
          </w:p>
        </w:tc>
        <w:tc>
          <w:tcPr>
            <w:tcW w:type="dxa" w:w="1296"/>
          </w:tcPr>
          <w:p>
            <w:r/>
            <w:r>
              <w:rPr>
                <w:rFonts w:ascii="Open Sans" w:hAnsi="Open Sans"/>
                <w:b w:val="0"/>
                <w:i w:val="0"/>
                <w:color w:val="59595B"/>
                <w:sz w:val="18"/>
              </w:rPr>
              <w:t>$2,775.00</w:t>
            </w:r>
          </w:p>
        </w:tc>
      </w:tr>
      <w:tr>
        <w:tc>
          <w:tcPr>
            <w:tcW w:type="dxa" w:w="1728"/>
          </w:tcPr>
          <w:p>
            <w:r/>
            <w:r>
              <w:rPr>
                <w:rFonts w:ascii="Open Sans" w:hAnsi="Open Sans"/>
                <w:b w:val="0"/>
                <w:i w:val="0"/>
                <w:color w:val="59595B"/>
                <w:sz w:val="18"/>
              </w:rPr>
              <w:t>Tech Support</w:t>
            </w:r>
          </w:p>
        </w:tc>
        <w:tc>
          <w:tcPr>
            <w:tcW w:type="dxa" w:w="1584"/>
          </w:tcPr>
          <w:p>
            <w:r/>
            <w:r>
              <w:rPr>
                <w:rFonts w:ascii="Open Sans" w:hAnsi="Open Sans"/>
                <w:b w:val="0"/>
                <w:i w:val="0"/>
                <w:color w:val="59595B"/>
                <w:sz w:val="18"/>
              </w:rPr>
              <w:t>India — Night</w:t>
            </w:r>
          </w:p>
        </w:tc>
        <w:tc>
          <w:tcPr>
            <w:tcW w:type="dxa" w:w="1872"/>
          </w:tcPr>
          <w:p>
            <w:r/>
            <w:r>
              <w:rPr>
                <w:rFonts w:ascii="Open Sans" w:hAnsi="Open Sans"/>
                <w:b w:val="0"/>
                <w:i w:val="0"/>
                <w:color w:val="59595B"/>
                <w:sz w:val="18"/>
              </w:rPr>
              <w:t>Day (US Biz Hours)</w:t>
            </w:r>
          </w:p>
        </w:tc>
        <w:tc>
          <w:tcPr>
            <w:tcW w:type="dxa" w:w="1008"/>
          </w:tcPr>
          <w:p>
            <w:r/>
            <w:r>
              <w:rPr>
                <w:rFonts w:ascii="Open Sans" w:hAnsi="Open Sans"/>
                <w:b w:val="0"/>
                <w:i w:val="0"/>
                <w:color w:val="59595B"/>
                <w:sz w:val="18"/>
              </w:rPr>
              <w:t>18.5</w:t>
            </w:r>
          </w:p>
        </w:tc>
        <w:tc>
          <w:tcPr>
            <w:tcW w:type="dxa" w:w="1296"/>
          </w:tcPr>
          <w:p>
            <w:r/>
            <w:r>
              <w:rPr>
                <w:rFonts w:ascii="Open Sans" w:hAnsi="Open Sans"/>
                <w:b w:val="0"/>
                <w:i w:val="0"/>
                <w:color w:val="59595B"/>
                <w:sz w:val="18"/>
              </w:rPr>
              <w:t>$45.00/hr</w:t>
            </w:r>
          </w:p>
        </w:tc>
        <w:tc>
          <w:tcPr>
            <w:tcW w:type="dxa" w:w="1296"/>
          </w:tcPr>
          <w:p>
            <w:r/>
            <w:r>
              <w:rPr>
                <w:rFonts w:ascii="Open Sans" w:hAnsi="Open Sans"/>
                <w:b w:val="0"/>
                <w:i w:val="0"/>
                <w:color w:val="59595B"/>
                <w:sz w:val="18"/>
              </w:rPr>
              <w:t>$832.50</w:t>
            </w:r>
          </w:p>
        </w:tc>
      </w:tr>
      <w:tr>
        <w:tc>
          <w:tcPr>
            <w:tcW w:type="dxa" w:w="1728"/>
          </w:tcPr>
          <w:p>
            <w:r/>
            <w:r>
              <w:rPr>
                <w:rFonts w:ascii="Open Sans" w:hAnsi="Open Sans"/>
                <w:b w:val="0"/>
                <w:i w:val="0"/>
                <w:color w:val="59595B"/>
                <w:sz w:val="18"/>
              </w:rPr>
              <w:t>Tech Support</w:t>
            </w:r>
          </w:p>
        </w:tc>
        <w:tc>
          <w:tcPr>
            <w:tcW w:type="dxa" w:w="1584"/>
          </w:tcPr>
          <w:p>
            <w:r/>
            <w:r>
              <w:rPr>
                <w:rFonts w:ascii="Open Sans" w:hAnsi="Open Sans"/>
                <w:b w:val="0"/>
                <w:i w:val="0"/>
                <w:color w:val="59595B"/>
                <w:sz w:val="18"/>
              </w:rPr>
              <w:t>India — Day</w:t>
            </w:r>
          </w:p>
        </w:tc>
        <w:tc>
          <w:tcPr>
            <w:tcW w:type="dxa" w:w="1872"/>
          </w:tcPr>
          <w:p>
            <w:r/>
            <w:r>
              <w:rPr>
                <w:rFonts w:ascii="Open Sans" w:hAnsi="Open Sans"/>
                <w:b w:val="0"/>
                <w:i w:val="0"/>
                <w:color w:val="59595B"/>
                <w:sz w:val="18"/>
              </w:rPr>
              <w:t>Night (US After-Hours)</w:t>
            </w:r>
          </w:p>
        </w:tc>
        <w:tc>
          <w:tcPr>
            <w:tcW w:type="dxa" w:w="1008"/>
          </w:tcPr>
          <w:p>
            <w:r/>
            <w:r>
              <w:rPr>
                <w:rFonts w:ascii="Open Sans" w:hAnsi="Open Sans"/>
                <w:b w:val="0"/>
                <w:i w:val="0"/>
                <w:color w:val="59595B"/>
                <w:sz w:val="18"/>
              </w:rPr>
              <w:t>37.0</w:t>
            </w:r>
          </w:p>
        </w:tc>
        <w:tc>
          <w:tcPr>
            <w:tcW w:type="dxa" w:w="1296"/>
          </w:tcPr>
          <w:p>
            <w:r/>
            <w:r>
              <w:rPr>
                <w:rFonts w:ascii="Open Sans" w:hAnsi="Open Sans"/>
                <w:b w:val="0"/>
                <w:i w:val="0"/>
                <w:color w:val="59595B"/>
                <w:sz w:val="18"/>
              </w:rPr>
              <w:t>$35.00/hr</w:t>
            </w:r>
          </w:p>
        </w:tc>
        <w:tc>
          <w:tcPr>
            <w:tcW w:type="dxa" w:w="1296"/>
          </w:tcPr>
          <w:p>
            <w:r/>
            <w:r>
              <w:rPr>
                <w:rFonts w:ascii="Open Sans" w:hAnsi="Open Sans"/>
                <w:b w:val="0"/>
                <w:i w:val="0"/>
                <w:color w:val="59595B"/>
                <w:sz w:val="18"/>
              </w:rPr>
              <w:t>$1,295.00</w:t>
            </w:r>
          </w:p>
        </w:tc>
      </w:tr>
      <w:tr>
        <w:tc>
          <w:tcPr>
            <w:tcW w:type="dxa" w:w="1728"/>
            <w:shd w:fill="F8F9FA" w:val="clear"/>
          </w:tcPr>
          <w:p>
            <w:r/>
            <w:r>
              <w:rPr>
                <w:rFonts w:ascii="Open Sans" w:hAnsi="Open Sans"/>
                <w:b/>
                <w:i w:val="0"/>
                <w:color w:val="1A1A2E"/>
                <w:sz w:val="18"/>
              </w:rPr>
              <w:t>SUBTOTAL — VIRTUAL STAFF</w:t>
            </w:r>
          </w:p>
        </w:tc>
        <w:tc>
          <w:tcPr>
            <w:tcW w:type="dxa" w:w="1584"/>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008"/>
            <w:shd w:fill="F8F9FA" w:val="clear"/>
          </w:tcPr>
          <w:p>
            <w:r/>
            <w:r>
              <w:rPr>
                <w:rFonts w:ascii="Open Sans" w:hAnsi="Open Sans"/>
                <w:b/>
                <w:i w:val="0"/>
                <w:color w:val="1A1A2E"/>
                <w:sz w:val="18"/>
              </w:rPr>
              <w:t>74</w:t>
            </w:r>
          </w:p>
        </w:tc>
        <w:tc>
          <w:tcPr>
            <w:tcW w:type="dxa" w:w="1296"/>
            <w:shd w:fill="F8F9FA" w:val="clear"/>
          </w:tcPr>
          <w:p>
            <w:r/>
            <w:r>
              <w:rPr>
                <w:rFonts w:ascii="Open Sans" w:hAnsi="Open Sans"/>
                <w:b/>
                <w:i w:val="0"/>
                <w:color w:val="1A1A2E"/>
                <w:sz w:val="18"/>
              </w:rPr>
            </w:r>
          </w:p>
        </w:tc>
        <w:tc>
          <w:tcPr>
            <w:tcW w:type="dxa" w:w="1296"/>
            <w:shd w:fill="F8F9FA" w:val="clear"/>
          </w:tcPr>
          <w:p>
            <w:r/>
            <w:r>
              <w:rPr>
                <w:rFonts w:ascii="Open Sans" w:hAnsi="Open Sans"/>
                <w:b/>
                <w:i w:val="0"/>
                <w:color w:val="1A1A2E"/>
                <w:sz w:val="18"/>
              </w:rPr>
              <w:t>$4,902.50</w:t>
            </w:r>
          </w:p>
        </w:tc>
      </w:tr>
    </w:tbl>
    <w:p>
      <w:pPr>
        <w:spacing w:before="160"/>
      </w:pPr>
      <w:r>
        <w:rPr>
          <w:rFonts w:ascii="Open Sans" w:hAnsi="Open Sans"/>
          <w:b/>
          <w:i w:val="0"/>
          <w:color w:val="1A1A2E"/>
          <w:sz w:val="20"/>
        </w:rPr>
        <w:t>Naming Convention:</w:t>
      </w:r>
    </w:p>
    <w:p>
      <w:pPr>
        <w:pStyle w:val="ListBullet"/>
        <w:spacing w:after="40"/>
      </w:pPr>
      <w:r>
        <w:rPr>
          <w:rFonts w:ascii="Open Sans" w:hAnsi="Open Sans"/>
          <w:b/>
          <w:i w:val="0"/>
          <w:color w:val="1A1A2E"/>
          <w:sz w:val="20"/>
        </w:rPr>
        <w:t xml:space="preserve">“India — Night” </w:t>
      </w:r>
      <w:r>
        <w:rPr>
          <w:rFonts w:ascii="Open Sans" w:hAnsi="Open Sans"/>
          <w:b w:val="0"/>
          <w:i w:val="0"/>
          <w:color w:val="59595B"/>
          <w:sz w:val="20"/>
        </w:rPr>
        <w:t>refers to India-based staff working during US business hours (nighttime in India)</w:t>
      </w:r>
    </w:p>
    <w:p>
      <w:pPr>
        <w:pStyle w:val="ListBullet"/>
        <w:spacing w:after="40"/>
      </w:pPr>
      <w:r>
        <w:rPr>
          <w:rFonts w:ascii="Open Sans" w:hAnsi="Open Sans"/>
          <w:b/>
          <w:i w:val="0"/>
          <w:color w:val="1A1A2E"/>
          <w:sz w:val="20"/>
        </w:rPr>
        <w:t xml:space="preserve">“India — Day” </w:t>
      </w:r>
      <w:r>
        <w:rPr>
          <w:rFonts w:ascii="Open Sans" w:hAnsi="Open Sans"/>
          <w:b w:val="0"/>
          <w:i w:val="0"/>
          <w:color w:val="59595B"/>
          <w:sz w:val="20"/>
        </w:rPr>
        <w:t>refers to India-based staff working during US after-hours (daytime in India)</w:t>
      </w:r>
    </w:p>
    <w:p>
      <w:pPr>
        <w:spacing w:before="80"/>
      </w:pPr>
      <w:r>
        <w:rPr>
          <w:rFonts w:ascii="Open Sans" w:hAnsi="Open Sans"/>
          <w:b/>
          <w:i w:val="0"/>
          <w:color w:val="1A1A2E"/>
          <w:sz w:val="20"/>
        </w:rPr>
        <w:t xml:space="preserve">Billing Model: </w:t>
      </w:r>
      <w:r>
        <w:rPr>
          <w:rFonts w:ascii="Open Sans" w:hAnsi="Open Sans"/>
          <w:b w:val="0"/>
          <w:i w:val="0"/>
          <w:color w:val="59595B"/>
          <w:sz w:val="20"/>
        </w:rPr>
        <w:t>Cycle-based billing with reconciliation. Initial cycle based on estimated 74 hours/month per the Service Order. Actual usage tracked from day one with reconciliation at end of each cycle period.</w:t>
      </w:r>
    </w:p>
    <w:p>
      <w:pPr>
        <w:spacing w:after="16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Total Monthly Investment Summary</w:t>
            </w:r>
          </w:p>
        </w:tc>
      </w:tr>
    </w:tbl>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3120"/>
        <w:gridCol w:w="3120"/>
        <w:gridCol w:w="3120"/>
      </w:tblGrid>
      <w:tr>
        <w:tc>
          <w:tcPr>
            <w:tcW w:type="dxa" w:w="4032"/>
            <w:shd w:fill="006DB6" w:val="clear"/>
          </w:tcPr>
          <w:p>
            <w:r/>
            <w:r>
              <w:rPr>
                <w:rFonts w:ascii="Open Sans" w:hAnsi="Open Sans"/>
                <w:b/>
                <w:i w:val="0"/>
                <w:color w:val="FFFFFF"/>
                <w:sz w:val="18"/>
              </w:rPr>
              <w:t>Category</w:t>
            </w:r>
          </w:p>
        </w:tc>
        <w:tc>
          <w:tcPr>
            <w:tcW w:type="dxa" w:w="2304"/>
            <w:shd w:fill="006DB6" w:val="clear"/>
          </w:tcPr>
          <w:p>
            <w:r/>
            <w:r>
              <w:rPr>
                <w:rFonts w:ascii="Open Sans" w:hAnsi="Open Sans"/>
                <w:b/>
                <w:i w:val="0"/>
                <w:color w:val="FFFFFF"/>
                <w:sz w:val="18"/>
              </w:rPr>
              <w:t>Monthly</w:t>
            </w:r>
          </w:p>
        </w:tc>
        <w:tc>
          <w:tcPr>
            <w:tcW w:type="dxa" w:w="2304"/>
            <w:shd w:fill="006DB6" w:val="clear"/>
          </w:tcPr>
          <w:p>
            <w:r/>
            <w:r>
              <w:rPr>
                <w:rFonts w:ascii="Open Sans" w:hAnsi="Open Sans"/>
                <w:b/>
                <w:i w:val="0"/>
                <w:color w:val="FFFFFF"/>
                <w:sz w:val="18"/>
              </w:rPr>
              <w:t>Annual</w:t>
            </w:r>
          </w:p>
        </w:tc>
      </w:tr>
      <w:tr>
        <w:tc>
          <w:tcPr>
            <w:tcW w:type="dxa" w:w="4032"/>
          </w:tcPr>
          <w:p>
            <w:r/>
            <w:r>
              <w:rPr>
                <w:rFonts w:ascii="Open Sans" w:hAnsi="Open Sans"/>
                <w:b w:val="0"/>
                <w:i w:val="0"/>
                <w:color w:val="59595B"/>
                <w:sz w:val="18"/>
              </w:rPr>
              <w:t>Endpoint &amp; Device Security</w:t>
            </w:r>
          </w:p>
        </w:tc>
        <w:tc>
          <w:tcPr>
            <w:tcW w:type="dxa" w:w="2304"/>
          </w:tcPr>
          <w:p>
            <w:r/>
            <w:r>
              <w:rPr>
                <w:rFonts w:ascii="Open Sans" w:hAnsi="Open Sans"/>
                <w:b w:val="0"/>
                <w:i w:val="0"/>
                <w:color w:val="59595B"/>
                <w:sz w:val="18"/>
              </w:rPr>
              <w:t>$2,120.00</w:t>
            </w:r>
          </w:p>
        </w:tc>
        <w:tc>
          <w:tcPr>
            <w:tcW w:type="dxa" w:w="2304"/>
          </w:tcPr>
          <w:p>
            <w:r/>
            <w:r>
              <w:rPr>
                <w:rFonts w:ascii="Open Sans" w:hAnsi="Open Sans"/>
                <w:b w:val="0"/>
                <w:i w:val="0"/>
                <w:color w:val="59595B"/>
                <w:sz w:val="18"/>
              </w:rPr>
              <w:t>$25,440.00</w:t>
            </w:r>
          </w:p>
        </w:tc>
      </w:tr>
      <w:tr>
        <w:tc>
          <w:tcPr>
            <w:tcW w:type="dxa" w:w="4032"/>
          </w:tcPr>
          <w:p>
            <w:r/>
            <w:r>
              <w:rPr>
                <w:rFonts w:ascii="Open Sans" w:hAnsi="Open Sans"/>
                <w:b w:val="0"/>
                <w:i w:val="0"/>
                <w:color w:val="59595B"/>
                <w:sz w:val="18"/>
              </w:rPr>
              <w:t>Email Security &amp; Compliance</w:t>
            </w:r>
          </w:p>
        </w:tc>
        <w:tc>
          <w:tcPr>
            <w:tcW w:type="dxa" w:w="2304"/>
          </w:tcPr>
          <w:p>
            <w:r/>
            <w:r>
              <w:rPr>
                <w:rFonts w:ascii="Open Sans" w:hAnsi="Open Sans"/>
                <w:b w:val="0"/>
                <w:i w:val="0"/>
                <w:color w:val="59595B"/>
                <w:sz w:val="18"/>
              </w:rPr>
              <w:t>$978.50</w:t>
            </w:r>
          </w:p>
        </w:tc>
        <w:tc>
          <w:tcPr>
            <w:tcW w:type="dxa" w:w="2304"/>
          </w:tcPr>
          <w:p>
            <w:r/>
            <w:r>
              <w:rPr>
                <w:rFonts w:ascii="Open Sans" w:hAnsi="Open Sans"/>
                <w:b w:val="0"/>
                <w:i w:val="0"/>
                <w:color w:val="59595B"/>
                <w:sz w:val="18"/>
              </w:rPr>
              <w:t>$11,742.00</w:t>
            </w:r>
          </w:p>
        </w:tc>
      </w:tr>
      <w:tr>
        <w:tc>
          <w:tcPr>
            <w:tcW w:type="dxa" w:w="4032"/>
          </w:tcPr>
          <w:p>
            <w:r/>
            <w:r>
              <w:rPr>
                <w:rFonts w:ascii="Open Sans" w:hAnsi="Open Sans"/>
                <w:b w:val="0"/>
                <w:i w:val="0"/>
                <w:color w:val="59595B"/>
                <w:sz w:val="18"/>
              </w:rPr>
              <w:t>Virtual Staff Support</w:t>
            </w:r>
          </w:p>
        </w:tc>
        <w:tc>
          <w:tcPr>
            <w:tcW w:type="dxa" w:w="2304"/>
          </w:tcPr>
          <w:p>
            <w:r/>
            <w:r>
              <w:rPr>
                <w:rFonts w:ascii="Open Sans" w:hAnsi="Open Sans"/>
                <w:b w:val="0"/>
                <w:i w:val="0"/>
                <w:color w:val="59595B"/>
                <w:sz w:val="18"/>
              </w:rPr>
              <w:t>$4,902.50</w:t>
            </w:r>
          </w:p>
        </w:tc>
        <w:tc>
          <w:tcPr>
            <w:tcW w:type="dxa" w:w="2304"/>
          </w:tcPr>
          <w:p>
            <w:r/>
            <w:r>
              <w:rPr>
                <w:rFonts w:ascii="Open Sans" w:hAnsi="Open Sans"/>
                <w:b w:val="0"/>
                <w:i w:val="0"/>
                <w:color w:val="59595B"/>
                <w:sz w:val="18"/>
              </w:rPr>
              <w:t>$58,830.00</w:t>
            </w:r>
          </w:p>
        </w:tc>
      </w:tr>
      <w:tr>
        <w:tc>
          <w:tcPr>
            <w:tcW w:type="dxa" w:w="4032"/>
            <w:shd w:fill="F8F9FA" w:val="clear"/>
          </w:tcPr>
          <w:p>
            <w:r/>
            <w:r>
              <w:rPr>
                <w:rFonts w:ascii="Open Sans" w:hAnsi="Open Sans"/>
                <w:b/>
                <w:i w:val="0"/>
                <w:color w:val="1A1A2E"/>
                <w:sz w:val="18"/>
              </w:rPr>
              <w:t>TOTAL MONTHLY</w:t>
            </w:r>
          </w:p>
        </w:tc>
        <w:tc>
          <w:tcPr>
            <w:tcW w:type="dxa" w:w="2304"/>
            <w:shd w:fill="F8F9FA" w:val="clear"/>
          </w:tcPr>
          <w:p>
            <w:r/>
            <w:r>
              <w:rPr>
                <w:rFonts w:ascii="Open Sans" w:hAnsi="Open Sans"/>
                <w:b/>
                <w:i w:val="0"/>
                <w:color w:val="1A1A2E"/>
                <w:sz w:val="18"/>
              </w:rPr>
              <w:t>$8,001.00</w:t>
            </w:r>
          </w:p>
        </w:tc>
        <w:tc>
          <w:tcPr>
            <w:tcW w:type="dxa" w:w="2304"/>
            <w:shd w:fill="F8F9FA" w:val="clear"/>
          </w:tcPr>
          <w:p>
            <w:r/>
            <w:r>
              <w:rPr>
                <w:rFonts w:ascii="Open Sans" w:hAnsi="Open Sans"/>
                <w:b/>
                <w:i w:val="0"/>
                <w:color w:val="1A1A2E"/>
                <w:sz w:val="18"/>
              </w:rPr>
              <w:t>$96,012.00</w:t>
            </w:r>
          </w:p>
        </w:tc>
      </w:tr>
    </w:tbl>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Service Level Commitments</w:t>
            </w:r>
          </w:p>
        </w:tc>
      </w:tr>
    </w:tbl>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3168"/>
            <w:shd w:fill="006DB6" w:val="clear"/>
          </w:tcPr>
          <w:p>
            <w:r/>
            <w:r>
              <w:rPr>
                <w:rFonts w:ascii="Open Sans" w:hAnsi="Open Sans"/>
                <w:b/>
                <w:i w:val="0"/>
                <w:color w:val="FFFFFF"/>
                <w:sz w:val="18"/>
              </w:rPr>
              <w:t>Service Level</w:t>
            </w:r>
          </w:p>
        </w:tc>
        <w:tc>
          <w:tcPr>
            <w:tcW w:type="dxa" w:w="5472"/>
            <w:shd w:fill="006DB6" w:val="clear"/>
          </w:tcPr>
          <w:p>
            <w:r/>
            <w:r>
              <w:rPr>
                <w:rFonts w:ascii="Open Sans" w:hAnsi="Open Sans"/>
                <w:b/>
                <w:i w:val="0"/>
                <w:color w:val="FFFFFF"/>
                <w:sz w:val="18"/>
              </w:rPr>
              <w:t>Target</w:t>
            </w:r>
          </w:p>
        </w:tc>
      </w:tr>
      <w:tr>
        <w:tc>
          <w:tcPr>
            <w:tcW w:type="dxa" w:w="3168"/>
          </w:tcPr>
          <w:p>
            <w:r/>
            <w:r>
              <w:rPr>
                <w:rFonts w:ascii="Open Sans" w:hAnsi="Open Sans"/>
                <w:b w:val="0"/>
                <w:i w:val="0"/>
                <w:color w:val="59595B"/>
                <w:sz w:val="18"/>
              </w:rPr>
              <w:t>Critical Incident Response</w:t>
            </w:r>
          </w:p>
        </w:tc>
        <w:tc>
          <w:tcPr>
            <w:tcW w:type="dxa" w:w="5472"/>
          </w:tcPr>
          <w:p>
            <w:r/>
            <w:r>
              <w:rPr>
                <w:rFonts w:ascii="Open Sans" w:hAnsi="Open Sans"/>
                <w:b w:val="0"/>
                <w:i w:val="0"/>
                <w:color w:val="59595B"/>
                <w:sz w:val="18"/>
              </w:rPr>
              <w:t>Within 1 hour of notification</w:t>
            </w:r>
          </w:p>
        </w:tc>
      </w:tr>
      <w:tr>
        <w:tc>
          <w:tcPr>
            <w:tcW w:type="dxa" w:w="3168"/>
          </w:tcPr>
          <w:p>
            <w:r/>
            <w:r>
              <w:rPr>
                <w:rFonts w:ascii="Open Sans" w:hAnsi="Open Sans"/>
                <w:b w:val="0"/>
                <w:i w:val="0"/>
                <w:color w:val="59595B"/>
                <w:sz w:val="18"/>
              </w:rPr>
              <w:t>Standard Support Response</w:t>
            </w:r>
          </w:p>
        </w:tc>
        <w:tc>
          <w:tcPr>
            <w:tcW w:type="dxa" w:w="5472"/>
          </w:tcPr>
          <w:p>
            <w:r/>
            <w:r>
              <w:rPr>
                <w:rFonts w:ascii="Open Sans" w:hAnsi="Open Sans"/>
                <w:b w:val="0"/>
                <w:i w:val="0"/>
                <w:color w:val="59595B"/>
                <w:sz w:val="18"/>
              </w:rPr>
              <w:t>Within 4 business hours</w:t>
            </w:r>
          </w:p>
        </w:tc>
      </w:tr>
      <w:tr>
        <w:tc>
          <w:tcPr>
            <w:tcW w:type="dxa" w:w="3168"/>
          </w:tcPr>
          <w:p>
            <w:r/>
            <w:r>
              <w:rPr>
                <w:rFonts w:ascii="Open Sans" w:hAnsi="Open Sans"/>
                <w:b w:val="0"/>
                <w:i w:val="0"/>
                <w:color w:val="59595B"/>
                <w:sz w:val="18"/>
              </w:rPr>
              <w:t>Scheduled Maintenance</w:t>
            </w:r>
          </w:p>
        </w:tc>
        <w:tc>
          <w:tcPr>
            <w:tcW w:type="dxa" w:w="5472"/>
          </w:tcPr>
          <w:p>
            <w:r/>
            <w:r>
              <w:rPr>
                <w:rFonts w:ascii="Open Sans" w:hAnsi="Open Sans"/>
                <w:b w:val="0"/>
                <w:i w:val="0"/>
                <w:color w:val="59595B"/>
                <w:sz w:val="18"/>
              </w:rPr>
              <w:t>Tuesdays evenings and Saturdays (with advance notice)</w:t>
            </w:r>
          </w:p>
        </w:tc>
      </w:tr>
      <w:tr>
        <w:tc>
          <w:tcPr>
            <w:tcW w:type="dxa" w:w="3168"/>
          </w:tcPr>
          <w:p>
            <w:r/>
            <w:r>
              <w:rPr>
                <w:rFonts w:ascii="Open Sans" w:hAnsi="Open Sans"/>
                <w:b w:val="0"/>
                <w:i w:val="0"/>
                <w:color w:val="59595B"/>
                <w:sz w:val="18"/>
              </w:rPr>
              <w:t>24/7 Monitoring</w:t>
            </w:r>
          </w:p>
        </w:tc>
        <w:tc>
          <w:tcPr>
            <w:tcW w:type="dxa" w:w="5472"/>
          </w:tcPr>
          <w:p>
            <w:r/>
            <w:r>
              <w:rPr>
                <w:rFonts w:ascii="Open Sans" w:hAnsi="Open Sans"/>
                <w:b w:val="0"/>
                <w:i w:val="0"/>
                <w:color w:val="59595B"/>
                <w:sz w:val="18"/>
              </w:rPr>
              <w:t>All endpoints and email security continuously monitored</w:t>
            </w:r>
          </w:p>
        </w:tc>
      </w:tr>
      <w:tr>
        <w:tc>
          <w:tcPr>
            <w:tcW w:type="dxa" w:w="3168"/>
          </w:tcPr>
          <w:p>
            <w:r/>
            <w:r>
              <w:rPr>
                <w:rFonts w:ascii="Open Sans" w:hAnsi="Open Sans"/>
                <w:b w:val="0"/>
                <w:i w:val="0"/>
                <w:color w:val="59595B"/>
                <w:sz w:val="18"/>
              </w:rPr>
              <w:t>Monthly Reporting</w:t>
            </w:r>
          </w:p>
        </w:tc>
        <w:tc>
          <w:tcPr>
            <w:tcW w:type="dxa" w:w="5472"/>
          </w:tcPr>
          <w:p>
            <w:r/>
            <w:r>
              <w:rPr>
                <w:rFonts w:ascii="Open Sans" w:hAnsi="Open Sans"/>
                <w:b w:val="0"/>
                <w:i w:val="0"/>
                <w:color w:val="59595B"/>
                <w:sz w:val="18"/>
              </w:rPr>
              <w:t>Service reports summarizing incidents, uptime, and support activity</w:t>
            </w:r>
          </w:p>
        </w:tc>
      </w:tr>
      <w:tr>
        <w:tc>
          <w:tcPr>
            <w:tcW w:type="dxa" w:w="3168"/>
          </w:tcPr>
          <w:p>
            <w:r/>
            <w:r>
              <w:rPr>
                <w:rFonts w:ascii="Open Sans" w:hAnsi="Open Sans"/>
                <w:b w:val="0"/>
                <w:i w:val="0"/>
                <w:color w:val="59595B"/>
                <w:sz w:val="18"/>
              </w:rPr>
              <w:t>Quarterly Reviews</w:t>
            </w:r>
          </w:p>
        </w:tc>
        <w:tc>
          <w:tcPr>
            <w:tcW w:type="dxa" w:w="5472"/>
          </w:tcPr>
          <w:p>
            <w:r/>
            <w:r>
              <w:rPr>
                <w:rFonts w:ascii="Open Sans" w:hAnsi="Open Sans"/>
                <w:b w:val="0"/>
                <w:i w:val="0"/>
                <w:color w:val="59595B"/>
                <w:sz w:val="18"/>
              </w:rPr>
              <w:t>Scheduled service reviews with MasonWest’s designated representative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Agreement Structure</w:t>
            </w:r>
          </w:p>
        </w:tc>
      </w:tr>
    </w:tbl>
    <w:p>
      <w:pPr>
        <w:pStyle w:val="ListBullet"/>
        <w:spacing w:after="40"/>
      </w:pPr>
      <w:r>
        <w:rPr>
          <w:rFonts w:ascii="Open Sans" w:hAnsi="Open Sans"/>
          <w:b/>
          <w:i w:val="0"/>
          <w:color w:val="1A1A2E"/>
          <w:sz w:val="20"/>
        </w:rPr>
        <w:t xml:space="preserve">Master Service Agreement (MSA): </w:t>
      </w:r>
      <w:r>
        <w:rPr>
          <w:rFonts w:ascii="Open Sans" w:hAnsi="Open Sans"/>
          <w:b w:val="0"/>
          <w:i w:val="0"/>
          <w:color w:val="59595B"/>
          <w:sz w:val="20"/>
        </w:rPr>
        <w:t>Governs the overall relationship, payment terms, confidentiality, liability, and dispute resolution for a 12-month initial term with automatic annual renewal.</w:t>
      </w:r>
    </w:p>
    <w:p>
      <w:pPr>
        <w:pStyle w:val="ListBullet"/>
        <w:spacing w:after="40"/>
      </w:pPr>
      <w:r>
        <w:rPr>
          <w:rFonts w:ascii="Open Sans" w:hAnsi="Open Sans"/>
          <w:b/>
          <w:i w:val="0"/>
          <w:color w:val="1A1A2E"/>
          <w:sz w:val="20"/>
        </w:rPr>
        <w:t xml:space="preserve">Schedule A — Monthly Services: </w:t>
      </w:r>
      <w:r>
        <w:rPr>
          <w:rFonts w:ascii="Open Sans" w:hAnsi="Open Sans"/>
          <w:b w:val="0"/>
          <w:i w:val="0"/>
          <w:color w:val="59595B"/>
          <w:sz w:val="20"/>
        </w:rPr>
        <w:t>Details the managed security, endpoint protection, email security, and virtual staff services with SLA commitments.</w:t>
      </w:r>
    </w:p>
    <w:p>
      <w:pPr>
        <w:pStyle w:val="ListBullet"/>
        <w:spacing w:after="40"/>
      </w:pPr>
      <w:r>
        <w:rPr>
          <w:rFonts w:ascii="Open Sans" w:hAnsi="Open Sans"/>
          <w:b/>
          <w:i w:val="0"/>
          <w:color w:val="1A1A2E"/>
          <w:sz w:val="20"/>
        </w:rPr>
        <w:t xml:space="preserve">Schedule B — Subscription Services: </w:t>
      </w:r>
      <w:r>
        <w:rPr>
          <w:rFonts w:ascii="Open Sans" w:hAnsi="Open Sans"/>
          <w:b w:val="0"/>
          <w:i w:val="0"/>
          <w:color w:val="59595B"/>
          <w:sz w:val="20"/>
        </w:rPr>
        <w:t>Covers any third-party software subscriptions and licenses managed by Technijian on MasonWest’s behalf.</w:t>
      </w:r>
    </w:p>
    <w:p>
      <w:pPr>
        <w:pStyle w:val="ListBullet"/>
        <w:spacing w:after="40"/>
      </w:pPr>
      <w:r>
        <w:rPr>
          <w:rFonts w:ascii="Open Sans" w:hAnsi="Open Sans"/>
          <w:b/>
          <w:i w:val="0"/>
          <w:color w:val="1A1A2E"/>
          <w:sz w:val="20"/>
        </w:rPr>
        <w:t xml:space="preserve">Schedule C — Rate Card: </w:t>
      </w:r>
      <w:r>
        <w:rPr>
          <w:rFonts w:ascii="Open Sans" w:hAnsi="Open Sans"/>
          <w:b w:val="0"/>
          <w:i w:val="0"/>
          <w:color w:val="59595B"/>
          <w:sz w:val="20"/>
        </w:rPr>
        <w:t>Establishes hourly rates for any additional work, change orders, or ad hoc support beyond the contracted hours.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8"/>
              </w:rPr>
              <w:t>Next Steps</w:t>
            </w:r>
          </w:p>
        </w:tc>
      </w:tr>
    </w:tbl>
    <w:p>
      <w:pPr>
        <w:spacing w:after="40"/>
      </w:pPr>
      <w:r>
        <w:rPr>
          <w:rFonts w:ascii="Open Sans" w:hAnsi="Open Sans"/>
          <w:b/>
          <w:i w:val="0"/>
          <w:color w:val="006DB6"/>
          <w:sz w:val="20"/>
        </w:rPr>
        <w:t xml:space="preserve">1. </w:t>
      </w:r>
      <w:r>
        <w:rPr>
          <w:rFonts w:ascii="Open Sans" w:hAnsi="Open Sans"/>
          <w:b w:val="0"/>
          <w:i w:val="0"/>
          <w:color w:val="59595B"/>
          <w:sz w:val="20"/>
        </w:rPr>
        <w:t>Review this summary and the attached agreements</w:t>
      </w:r>
    </w:p>
    <w:p>
      <w:pPr>
        <w:spacing w:after="40"/>
      </w:pPr>
      <w:r>
        <w:rPr>
          <w:rFonts w:ascii="Open Sans" w:hAnsi="Open Sans"/>
          <w:b/>
          <w:i w:val="0"/>
          <w:color w:val="006DB6"/>
          <w:sz w:val="20"/>
        </w:rPr>
        <w:t xml:space="preserve">2. </w:t>
      </w:r>
      <w:r>
        <w:rPr>
          <w:rFonts w:ascii="Open Sans" w:hAnsi="Open Sans"/>
          <w:b w:val="0"/>
          <w:i w:val="0"/>
          <w:color w:val="59595B"/>
          <w:sz w:val="20"/>
        </w:rPr>
        <w:t>Confirm any questions with Dustin Patel</w:t>
      </w:r>
    </w:p>
    <w:p>
      <w:pPr>
        <w:spacing w:after="40"/>
      </w:pPr>
      <w:r>
        <w:rPr>
          <w:rFonts w:ascii="Open Sans" w:hAnsi="Open Sans"/>
          <w:b/>
          <w:i w:val="0"/>
          <w:color w:val="006DB6"/>
          <w:sz w:val="20"/>
        </w:rPr>
        <w:t xml:space="preserve">3. </w:t>
      </w:r>
      <w:r>
        <w:rPr>
          <w:rFonts w:ascii="Open Sans" w:hAnsi="Open Sans"/>
          <w:b w:val="0"/>
          <w:i w:val="0"/>
          <w:color w:val="59595B"/>
          <w:sz w:val="20"/>
        </w:rPr>
        <w:t>Sign the MSA, Schedule A, Schedule B, Schedule C</w:t>
      </w:r>
    </w:p>
    <w:p>
      <w:pPr>
        <w:spacing w:after="40"/>
      </w:pPr>
      <w:r>
        <w:rPr>
          <w:rFonts w:ascii="Open Sans" w:hAnsi="Open Sans"/>
          <w:b/>
          <w:i w:val="0"/>
          <w:color w:val="006DB6"/>
          <w:sz w:val="20"/>
        </w:rPr>
        <w:t xml:space="preserve">4. </w:t>
      </w:r>
      <w:r>
        <w:rPr>
          <w:rFonts w:ascii="Open Sans" w:hAnsi="Open Sans"/>
          <w:b w:val="0"/>
          <w:i w:val="0"/>
          <w:color w:val="59595B"/>
          <w:sz w:val="20"/>
        </w:rPr>
        <w:t>Technijian begins onboarding and agent deployment within 5 business days of execution</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p>
      <w:pPr>
        <w:jc w:val="center"/>
      </w:pPr>
      <w:r>
        <w:rPr>
          <w:rFonts w:ascii="Open Sans" w:hAnsi="Open Sans"/>
          <w:b w:val="0"/>
          <w:i/>
          <w:color w:val="59595B"/>
          <w:sz w:val="16"/>
        </w:rPr>
        <w:t>CONFIDENTIAL — Prepared exclusively for MasonWest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