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006DB6" w:val="clear"/>
          </w:tcPr>
          <w:p>
            <w:pPr>
              <w:spacing w:before="0" w:after="0" w:line="120"/>
            </w:pPr>
            <w:r/>
          </w:p>
        </w:tc>
      </w:tr>
    </w:tbl>
    <w:p>
      <w:pPr>
        <w:spacing w:after="0"/>
      </w:pPr>
    </w:p>
    <w:p>
      <w:pPr>
        <w:spacing w:after="0"/>
      </w:pPr>
    </w:p>
    <w:p>
      <w:pPr>
        <w:spacing w:after="0"/>
      </w:pPr>
    </w:p>
    <w:p>
      <w:pPr>
        <w:spacing w:after="0"/>
      </w:pPr>
    </w:p>
    <w:p>
      <w:pPr>
        <w:spacing w:after="0"/>
      </w:pPr>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png"/>
                    <pic:cNvPicPr/>
                  </pic:nvPicPr>
                  <pic:blipFill>
                    <a:blip r:embed="rId9"/>
                    <a:stretch>
                      <a:fillRect/>
                    </a:stretch>
                  </pic:blipFill>
                  <pic:spPr>
                    <a:xfrm>
                      <a:off x="0" y="0"/>
                      <a:ext cx="2743200" cy="571500"/>
                    </a:xfrm>
                    <a:prstGeom prst="rect"/>
                  </pic:spPr>
                </pic:pic>
              </a:graphicData>
            </a:graphic>
          </wp:inline>
        </w:drawing>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20"/>
        <w:gridCol w:w="3120"/>
        <w:gridCol w:w="3120"/>
      </w:tblGrid>
      <w:tr>
        <w:tc>
          <w:tcPr>
            <w:tcW w:type="dxa" w:w="3240"/>
          </w:tcPr>
          <w:p>
            <w:pPr>
              <w:spacing w:before="0" w:after="0"/>
            </w:pPr>
            <w:r/>
          </w:p>
        </w:tc>
        <w:tc>
          <w:tcPr>
            <w:tcW w:type="dxa" w:w="3600"/>
            <w:shd w:fill="F67D4B" w:val="clear"/>
          </w:tcPr>
          <w:p>
            <w:pPr>
              <w:spacing w:before="0" w:after="0"/>
            </w:pPr>
            <w:r/>
          </w:p>
        </w:tc>
        <w:tc>
          <w:tcPr>
            <w:tcW w:type="dxa" w:w="3240"/>
          </w:tcPr>
          <w:p>
            <w:pPr>
              <w:spacing w:before="0" w:after="0"/>
            </w:pPr>
            <w:r/>
          </w:p>
        </w:tc>
      </w:tr>
    </w:tbl>
    <w:p>
      <w:pPr>
        <w:spacing w:before="400"/>
        <w:jc w:val="center"/>
      </w:pPr>
      <w:r>
        <w:rPr>
          <w:rFonts w:ascii="Open Sans" w:hAnsi="Open Sans"/>
          <w:b/>
          <w:i w:val="0"/>
          <w:color w:val="1A1A2E"/>
          <w:sz w:val="48"/>
        </w:rPr>
        <w:t>Master Service Agreement</w:t>
      </w:r>
    </w:p>
    <w:p>
      <w:pPr>
        <w:jc w:val="center"/>
      </w:pPr>
      <w:r>
        <w:rPr>
          <w:rFonts w:ascii="Open Sans" w:hAnsi="Open Sans"/>
          <w:b w:val="0"/>
          <w:i w:val="0"/>
          <w:color w:val="59595B"/>
          <w:sz w:val="26"/>
        </w:rPr>
        <w:t>Oaktree Law</w:t>
      </w:r>
    </w:p>
    <w:p>
      <w:pPr>
        <w:jc w:val="center"/>
      </w:pPr>
      <w:r>
        <w:rPr>
          <w:rFonts w:ascii="Open Sans" w:hAnsi="Open Sans"/>
          <w:b w:val="0"/>
          <w:i w:val="0"/>
          <w:color w:val="59595B"/>
          <w:sz w:val="24"/>
        </w:rPr>
        <w:t xml:space="preserve">Prepared for </w:t>
      </w:r>
      <w:r>
        <w:rPr>
          <w:rFonts w:ascii="Open Sans" w:hAnsi="Open Sans"/>
          <w:b/>
          <w:i w:val="0"/>
          <w:color w:val="006DB6"/>
          <w:sz w:val="24"/>
        </w:rPr>
        <w:t>Oaktree Law</w:t>
      </w:r>
    </w:p>
    <w:p>
      <w:pPr>
        <w:jc w:val="center"/>
      </w:pPr>
      <w:r>
        <w:rPr>
          <w:rFonts w:ascii="Open Sans" w:hAnsi="Open Sans"/>
          <w:b w:val="0"/>
          <w:i w:val="0"/>
          <w:color w:val="59595B"/>
          <w:sz w:val="20"/>
        </w:rPr>
        <w:t>March 23, 2026</w:t>
      </w:r>
    </w:p>
    <w:p>
      <w:pPr>
        <w:spacing w:after="0"/>
      </w:pPr>
    </w:p>
    <w:p>
      <w:pPr>
        <w:spacing w:after="0"/>
      </w:pPr>
    </w:p>
    <w:p>
      <w:pPr>
        <w:spacing w:after="0"/>
      </w:pPr>
    </w:p>
    <w:p>
      <w:pPr>
        <w:spacing w:after="0"/>
      </w:pPr>
    </w:p>
    <w:p>
      <w:pPr>
        <w:spacing w:after="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F67D4B" w:val="clear"/>
          </w:tcPr>
          <w:p>
            <w:pPr>
              <w:spacing w:before="0" w:after="0" w:line="120"/>
            </w:pPr>
            <w:r/>
          </w:p>
        </w:tc>
      </w:tr>
    </w:tbl>
    <w:p>
      <w:pPr>
        <w:spacing w:before="160"/>
        <w:jc w:val="center"/>
      </w:pPr>
      <w:r>
        <w:rPr>
          <w:rFonts w:ascii="Open Sans" w:hAnsi="Open Sans"/>
          <w:b w:val="0"/>
          <w:i/>
          <w:color w:val="59595B"/>
          <w:sz w:val="16"/>
        </w:rPr>
        <w:t>CONFIDENTIAL — For authorized use only</w:t>
      </w:r>
    </w:p>
    <w:p>
      <w:pPr>
        <w:jc w:val="center"/>
      </w:pPr>
      <w:r>
        <w:rPr>
          <w:rFonts w:ascii="Open Sans" w:hAnsi="Open Sans"/>
          <w:b w:val="0"/>
          <w:i w:val="0"/>
          <w:color w:val="59595B"/>
          <w:sz w:val="16"/>
        </w:rPr>
        <w:t>Technijian, Inc.  |  18 Technology Dr., Ste 141, Irvine, CA 92618  |  949.379.8499  |  technijian.com</w:t>
      </w:r>
    </w:p>
    <w:p>
      <w:r>
        <w:br w:type="page"/>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006DB6" w:val="clear"/>
          </w:tcPr>
          <w:p>
            <w:pPr>
              <w:spacing w:before="80" w:after="80"/>
            </w:pPr>
            <w:r/>
            <w:r>
              <w:rPr>
                <w:rFonts w:ascii="Open Sans" w:hAnsi="Open Sans"/>
                <w:b/>
                <w:i w:val="0"/>
                <w:color w:val="FFFFFF"/>
                <w:sz w:val="24"/>
              </w:rPr>
              <w:t>MASTER SERVICE AGREEMENT</w:t>
            </w:r>
          </w:p>
        </w:tc>
      </w:tr>
    </w:tbl>
    <w:p>
      <w:pPr>
        <w:spacing w:after="80"/>
      </w:pPr>
    </w:p>
    <w:p>
      <w:pPr>
        <w:spacing w:after="120"/>
      </w:pPr>
      <w:r>
        <w:rPr>
          <w:rFonts w:ascii="Open Sans" w:hAnsi="Open Sans"/>
          <w:b w:val="0"/>
          <w:i w:val="0"/>
          <w:color w:val="59595B"/>
          <w:sz w:val="20"/>
        </w:rPr>
        <w:t>Agreement Number: MSA-OKL-2026</w:t>
      </w:r>
    </w:p>
    <w:p>
      <w:pPr>
        <w:spacing w:after="120"/>
      </w:pPr>
      <w:r>
        <w:rPr>
          <w:rFonts w:ascii="Open Sans" w:hAnsi="Open Sans"/>
          <w:b w:val="0"/>
          <w:i w:val="0"/>
          <w:color w:val="59595B"/>
          <w:sz w:val="20"/>
        </w:rPr>
        <w:t>Effective Date: March 23, 2026</w:t>
      </w:r>
    </w:p>
    <w:p>
      <w:pPr>
        <w:spacing w:after="80"/>
      </w:pPr>
    </w:p>
    <w:p>
      <w:pPr>
        <w:spacing w:after="120"/>
      </w:pPr>
      <w:r>
        <w:rPr>
          <w:rFonts w:ascii="Open Sans" w:hAnsi="Open Sans"/>
          <w:b w:val="0"/>
          <w:i w:val="0"/>
          <w:color w:val="59595B"/>
          <w:sz w:val="20"/>
        </w:rPr>
        <w:t>This Master Service Agreement (“Agreement”) is entered into by and between:</w:t>
      </w:r>
    </w:p>
    <w:p>
      <w:pPr>
        <w:spacing w:after="80"/>
      </w:pPr>
    </w:p>
    <w:p>
      <w:pPr>
        <w:spacing w:after="60"/>
      </w:pPr>
      <w:r>
        <w:rPr>
          <w:rFonts w:ascii="Open Sans" w:hAnsi="Open Sans"/>
          <w:b/>
          <w:i w:val="0"/>
          <w:color w:val="1A1A2E"/>
          <w:sz w:val="20"/>
        </w:rPr>
        <w:t>Technijian, Inc. (“Technijian”)</w:t>
      </w:r>
      <w:r>
        <w:rPr>
          <w:rFonts w:ascii="Open Sans" w:hAnsi="Open Sans"/>
          <w:b w:val="0"/>
          <w:i w:val="0"/>
          <w:color w:val="59595B"/>
          <w:sz w:val="20"/>
        </w:rPr>
      </w:r>
    </w:p>
    <w:p>
      <w:pPr>
        <w:spacing w:after="120"/>
      </w:pPr>
      <w:r>
        <w:rPr>
          <w:rFonts w:ascii="Open Sans" w:hAnsi="Open Sans"/>
          <w:b w:val="0"/>
          <w:i w:val="0"/>
          <w:color w:val="59595B"/>
          <w:sz w:val="20"/>
        </w:rPr>
        <w:t>18 Technology Drive, Suite 141</w:t>
      </w:r>
    </w:p>
    <w:p>
      <w:pPr>
        <w:spacing w:after="120"/>
      </w:pPr>
      <w:r>
        <w:rPr>
          <w:rFonts w:ascii="Open Sans" w:hAnsi="Open Sans"/>
          <w:b w:val="0"/>
          <w:i w:val="0"/>
          <w:color w:val="59595B"/>
          <w:sz w:val="20"/>
        </w:rPr>
        <w:t>Irvine, California 92618</w:t>
      </w:r>
    </w:p>
    <w:p>
      <w:pPr>
        <w:spacing w:after="80"/>
      </w:pPr>
    </w:p>
    <w:p>
      <w:pPr>
        <w:spacing w:after="120"/>
      </w:pPr>
      <w:r>
        <w:rPr>
          <w:rFonts w:ascii="Open Sans" w:hAnsi="Open Sans"/>
          <w:b w:val="0"/>
          <w:i w:val="0"/>
          <w:color w:val="59595B"/>
          <w:sz w:val="20"/>
        </w:rPr>
        <w:t>and</w:t>
      </w:r>
    </w:p>
    <w:p>
      <w:pPr>
        <w:spacing w:after="80"/>
      </w:pPr>
    </w:p>
    <w:p>
      <w:pPr>
        <w:spacing w:after="60"/>
      </w:pPr>
      <w:r>
        <w:rPr>
          <w:rFonts w:ascii="Open Sans" w:hAnsi="Open Sans"/>
          <w:b/>
          <w:i w:val="0"/>
          <w:color w:val="1A1A2E"/>
          <w:sz w:val="20"/>
        </w:rPr>
        <w:t>Oaktree Law (“Client”)</w:t>
      </w:r>
      <w:r>
        <w:rPr>
          <w:rFonts w:ascii="Open Sans" w:hAnsi="Open Sans"/>
          <w:b w:val="0"/>
          <w:i w:val="0"/>
          <w:color w:val="59595B"/>
          <w:sz w:val="20"/>
        </w:rPr>
      </w:r>
    </w:p>
    <w:p>
      <w:pPr>
        <w:spacing w:after="120"/>
      </w:pPr>
      <w:r>
        <w:rPr>
          <w:rFonts w:ascii="Open Sans" w:hAnsi="Open Sans"/>
          <w:b w:val="0"/>
          <w:i w:val="0"/>
          <w:color w:val="59595B"/>
          <w:sz w:val="20"/>
        </w:rPr>
        <w:t>[CLIENT ADDRESS]</w:t>
      </w:r>
    </w:p>
    <w:p>
      <w:pPr>
        <w:spacing w:after="120"/>
      </w:pPr>
      <w:r>
        <w:rPr>
          <w:rFonts w:ascii="Open Sans" w:hAnsi="Open Sans"/>
          <w:b w:val="0"/>
          <w:i w:val="0"/>
          <w:color w:val="59595B"/>
          <w:sz w:val="20"/>
        </w:rPr>
        <w:t>[CITY, STATE ZIP]</w:t>
      </w:r>
    </w:p>
    <w:p>
      <w:pPr>
        <w:spacing w:after="120"/>
      </w:pPr>
      <w:r>
        <w:rPr>
          <w:rFonts w:ascii="Open Sans" w:hAnsi="Open Sans"/>
          <w:b w:val="0"/>
          <w:i w:val="0"/>
          <w:color w:val="59595B"/>
          <w:sz w:val="20"/>
        </w:rPr>
        <w:t>Primary Contact: Ed Pits</w:t>
      </w:r>
    </w:p>
    <w:p>
      <w:pPr>
        <w:spacing w:after="80"/>
      </w:pPr>
    </w:p>
    <w:p>
      <w:pPr>
        <w:spacing w:after="120"/>
      </w:pPr>
      <w:r>
        <w:rPr>
          <w:rFonts w:ascii="Open Sans" w:hAnsi="Open Sans"/>
          <w:b w:val="0"/>
          <w:i w:val="0"/>
          <w:color w:val="59595B"/>
          <w:sz w:val="20"/>
        </w:rPr>
        <w:t>(collectively, the “Parties”)</w:t>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SECTION 1 — SCOPE OF SERVICES</w:t>
            </w:r>
          </w:p>
        </w:tc>
      </w:tr>
    </w:tbl>
    <w:p>
      <w:pPr>
        <w:spacing w:after="60"/>
      </w:pPr>
      <w:r>
        <w:rPr>
          <w:rFonts w:ascii="Open Sans" w:hAnsi="Open Sans"/>
          <w:b/>
          <w:i w:val="0"/>
          <w:color w:val="006DB6"/>
          <w:sz w:val="20"/>
        </w:rPr>
        <w:t xml:space="preserve">1.01. </w:t>
      </w:r>
      <w:r>
        <w:rPr>
          <w:rFonts w:ascii="Open Sans" w:hAnsi="Open Sans"/>
          <w:b w:val="0"/>
          <w:i w:val="0"/>
          <w:color w:val="59595B"/>
          <w:sz w:val="20"/>
        </w:rPr>
        <w:t>Services. Technijian shall provide the services described in the Schedules attached to this Agreement, which are incorporated herein by reference:</w:t>
      </w:r>
    </w:p>
    <w:p>
      <w:pPr>
        <w:pStyle w:val="ListBullet"/>
        <w:spacing w:after="40"/>
      </w:pPr>
      <w:r>
        <w:rPr>
          <w:rFonts w:ascii="Open Sans" w:hAnsi="Open Sans"/>
          <w:b w:val="0"/>
          <w:i w:val="0"/>
          <w:color w:val="59595B"/>
          <w:sz w:val="20"/>
        </w:rPr>
        <w:t>Schedule A — Monthly Managed Services (Cloud Hosting, Security, Monitoring)</w:t>
      </w:r>
    </w:p>
    <w:p>
      <w:pPr>
        <w:pStyle w:val="ListBullet"/>
        <w:spacing w:after="40"/>
      </w:pPr>
      <w:r>
        <w:rPr>
          <w:rFonts w:ascii="Open Sans" w:hAnsi="Open Sans"/>
          <w:b w:val="0"/>
          <w:i w:val="0"/>
          <w:color w:val="59595B"/>
          <w:sz w:val="20"/>
        </w:rPr>
        <w:t>Schedule B — Subscription and License Services</w:t>
      </w:r>
    </w:p>
    <w:p>
      <w:pPr>
        <w:pStyle w:val="ListBullet"/>
        <w:spacing w:after="40"/>
      </w:pPr>
      <w:r>
        <w:rPr>
          <w:rFonts w:ascii="Open Sans" w:hAnsi="Open Sans"/>
          <w:b w:val="0"/>
          <w:i w:val="0"/>
          <w:color w:val="59595B"/>
          <w:sz w:val="20"/>
        </w:rPr>
        <w:t>Schedule C — Rate Card</w:t>
      </w:r>
    </w:p>
    <w:p>
      <w:pPr>
        <w:spacing w:after="120"/>
      </w:pPr>
      <w:r>
        <w:rPr>
          <w:rFonts w:ascii="Open Sans" w:hAnsi="Open Sans"/>
          <w:b w:val="0"/>
          <w:i w:val="0"/>
          <w:color w:val="59595B"/>
          <w:sz w:val="20"/>
        </w:rPr>
        <w:t>Additional services may be provided through Statements of Work (“SOWs”) executed under this Agreement.</w:t>
      </w:r>
    </w:p>
    <w:p>
      <w:pPr>
        <w:spacing w:after="60"/>
      </w:pPr>
      <w:r>
        <w:rPr>
          <w:rFonts w:ascii="Open Sans" w:hAnsi="Open Sans"/>
          <w:b/>
          <w:i w:val="0"/>
          <w:color w:val="006DB6"/>
          <w:sz w:val="20"/>
        </w:rPr>
        <w:t xml:space="preserve">1.02. </w:t>
      </w:r>
      <w:r>
        <w:rPr>
          <w:rFonts w:ascii="Open Sans" w:hAnsi="Open Sans"/>
          <w:b w:val="0"/>
          <w:i w:val="0"/>
          <w:color w:val="59595B"/>
          <w:sz w:val="20"/>
        </w:rPr>
        <w:t>Standard of Care. Technijian shall perform all services in a professional and workmanlike manner, consistent with industry standards for managed IT service providers.</w:t>
      </w:r>
    </w:p>
    <w:p>
      <w:pPr>
        <w:spacing w:after="60"/>
      </w:pPr>
      <w:r>
        <w:rPr>
          <w:rFonts w:ascii="Open Sans" w:hAnsi="Open Sans"/>
          <w:b/>
          <w:i w:val="0"/>
          <w:color w:val="006DB6"/>
          <w:sz w:val="20"/>
        </w:rPr>
        <w:t xml:space="preserve">1.03. </w:t>
      </w:r>
      <w:r>
        <w:rPr>
          <w:rFonts w:ascii="Open Sans" w:hAnsi="Open Sans"/>
          <w:b w:val="0"/>
          <w:i w:val="0"/>
          <w:color w:val="59595B"/>
          <w:sz w:val="20"/>
        </w:rPr>
        <w:t>Service Level Agreement. The service levels applicable to the services are set forth in Schedule A. Technijian shall use commercially reasonable efforts to meet the service levels described therein.</w:t>
      </w:r>
    </w:p>
    <w:p>
      <w:pPr>
        <w:spacing w:after="60"/>
      </w:pPr>
      <w:r>
        <w:rPr>
          <w:rFonts w:ascii="Open Sans" w:hAnsi="Open Sans"/>
          <w:b/>
          <w:i w:val="0"/>
          <w:color w:val="006DB6"/>
          <w:sz w:val="20"/>
        </w:rPr>
        <w:t xml:space="preserve">1.04. </w:t>
      </w:r>
      <w:r>
        <w:rPr>
          <w:rFonts w:ascii="Open Sans" w:hAnsi="Open Sans"/>
          <w:b w:val="0"/>
          <w:i w:val="0"/>
          <w:color w:val="59595B"/>
          <w:sz w:val="20"/>
        </w:rPr>
        <w:t>Client Responsibilities. Client shall:</w:t>
      </w:r>
    </w:p>
    <w:p>
      <w:pPr>
        <w:spacing w:after="60"/>
      </w:pPr>
      <w:r>
        <w:rPr>
          <w:rFonts w:ascii="Open Sans" w:hAnsi="Open Sans"/>
          <w:b/>
          <w:i w:val="0"/>
          <w:color w:val="006DB6"/>
          <w:sz w:val="20"/>
        </w:rPr>
        <w:t xml:space="preserve">    (a) </w:t>
      </w:r>
      <w:r>
        <w:rPr>
          <w:rFonts w:ascii="Open Sans" w:hAnsi="Open Sans"/>
          <w:b w:val="0"/>
          <w:i w:val="0"/>
          <w:color w:val="59595B"/>
          <w:sz w:val="20"/>
        </w:rPr>
        <w:t>Provide Technijian with reasonable access to Client’s systems, facilities, and personnel as necessary for Technijian to perform the services;</w:t>
      </w:r>
    </w:p>
    <w:p>
      <w:pPr>
        <w:spacing w:after="60"/>
      </w:pPr>
      <w:r>
        <w:rPr>
          <w:rFonts w:ascii="Open Sans" w:hAnsi="Open Sans"/>
          <w:b/>
          <w:i w:val="0"/>
          <w:color w:val="006DB6"/>
          <w:sz w:val="20"/>
        </w:rPr>
        <w:t xml:space="preserve">    (b) </w:t>
      </w:r>
      <w:r>
        <w:rPr>
          <w:rFonts w:ascii="Open Sans" w:hAnsi="Open Sans"/>
          <w:b w:val="0"/>
          <w:i w:val="0"/>
          <w:color w:val="59595B"/>
          <w:sz w:val="20"/>
        </w:rPr>
        <w:t>Designate a primary point of contact for communications with Technijian;</w:t>
      </w:r>
    </w:p>
    <w:p>
      <w:pPr>
        <w:spacing w:after="60"/>
      </w:pPr>
      <w:r>
        <w:rPr>
          <w:rFonts w:ascii="Open Sans" w:hAnsi="Open Sans"/>
          <w:b/>
          <w:i w:val="0"/>
          <w:color w:val="006DB6"/>
          <w:sz w:val="20"/>
        </w:rPr>
        <w:t xml:space="preserve">    (c) </w:t>
      </w:r>
      <w:r>
        <w:rPr>
          <w:rFonts w:ascii="Open Sans" w:hAnsi="Open Sans"/>
          <w:b w:val="0"/>
          <w:i w:val="0"/>
          <w:color w:val="59595B"/>
          <w:sz w:val="20"/>
        </w:rPr>
        <w:t>Maintain current and accurate information regarding Client’s systems and infrastructure;</w:t>
      </w:r>
    </w:p>
    <w:p>
      <w:pPr>
        <w:spacing w:after="60"/>
      </w:pPr>
      <w:r>
        <w:rPr>
          <w:rFonts w:ascii="Open Sans" w:hAnsi="Open Sans"/>
          <w:b/>
          <w:i w:val="0"/>
          <w:color w:val="006DB6"/>
          <w:sz w:val="20"/>
        </w:rPr>
        <w:t xml:space="preserve">    (d) </w:t>
      </w:r>
      <w:r>
        <w:rPr>
          <w:rFonts w:ascii="Open Sans" w:hAnsi="Open Sans"/>
          <w:b w:val="0"/>
          <w:i w:val="0"/>
          <w:color w:val="59595B"/>
          <w:sz w:val="20"/>
        </w:rPr>
        <w:t>Comply with all applicable laws and regulations in connection with its use of the services; and</w:t>
      </w:r>
    </w:p>
    <w:p>
      <w:pPr>
        <w:spacing w:after="60"/>
      </w:pPr>
      <w:r>
        <w:rPr>
          <w:rFonts w:ascii="Open Sans" w:hAnsi="Open Sans"/>
          <w:b/>
          <w:i w:val="0"/>
          <w:color w:val="006DB6"/>
          <w:sz w:val="20"/>
        </w:rPr>
        <w:t xml:space="preserve">    (e) </w:t>
      </w:r>
      <w:r>
        <w:rPr>
          <w:rFonts w:ascii="Open Sans" w:hAnsi="Open Sans"/>
          <w:b w:val="0"/>
          <w:i w:val="0"/>
          <w:color w:val="59595B"/>
          <w:sz w:val="20"/>
        </w:rPr>
        <w:t>Be solely responsible for the security and management of Client’s account credentials and passwords.</w:t>
      </w:r>
    </w:p>
    <w:p>
      <w:pPr>
        <w:spacing w:after="60"/>
      </w:pPr>
      <w:r>
        <w:rPr>
          <w:rFonts w:ascii="Open Sans" w:hAnsi="Open Sans"/>
          <w:b/>
          <w:i w:val="0"/>
          <w:color w:val="006DB6"/>
          <w:sz w:val="20"/>
        </w:rPr>
        <w:t xml:space="preserve">1.05. </w:t>
      </w:r>
      <w:r>
        <w:rPr>
          <w:rFonts w:ascii="Open Sans" w:hAnsi="Open Sans"/>
          <w:b w:val="0"/>
          <w:i w:val="0"/>
          <w:color w:val="59595B"/>
          <w:sz w:val="20"/>
        </w:rPr>
        <w:t>Independent Contractor. Technijian is an independent contractor. Nothing in this Agreement shall be construed to create a partnership, joint venture, agency, or employment relationship between the Parties.</w:t>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SECTION 2 — TERM AND RENEWAL</w:t>
            </w:r>
          </w:p>
        </w:tc>
      </w:tr>
    </w:tbl>
    <w:p>
      <w:pPr>
        <w:spacing w:after="60"/>
      </w:pPr>
      <w:r>
        <w:rPr>
          <w:rFonts w:ascii="Open Sans" w:hAnsi="Open Sans"/>
          <w:b/>
          <w:i w:val="0"/>
          <w:color w:val="006DB6"/>
          <w:sz w:val="20"/>
        </w:rPr>
        <w:t xml:space="preserve">2.01. </w:t>
      </w:r>
      <w:r>
        <w:rPr>
          <w:rFonts w:ascii="Open Sans" w:hAnsi="Open Sans"/>
          <w:b w:val="0"/>
          <w:i w:val="0"/>
          <w:color w:val="59595B"/>
          <w:sz w:val="20"/>
        </w:rPr>
        <w:t>Initial Term. This Agreement shall commence on the Effective Date and continue for a period of twelve (12) months (the “Initial Term”).</w:t>
      </w:r>
    </w:p>
    <w:p>
      <w:pPr>
        <w:spacing w:after="60"/>
      </w:pPr>
      <w:r>
        <w:rPr>
          <w:rFonts w:ascii="Open Sans" w:hAnsi="Open Sans"/>
          <w:b/>
          <w:i w:val="0"/>
          <w:color w:val="006DB6"/>
          <w:sz w:val="20"/>
        </w:rPr>
        <w:t xml:space="preserve">2.02. </w:t>
      </w:r>
      <w:r>
        <w:rPr>
          <w:rFonts w:ascii="Open Sans" w:hAnsi="Open Sans"/>
          <w:b w:val="0"/>
          <w:i w:val="0"/>
          <w:color w:val="59595B"/>
          <w:sz w:val="20"/>
        </w:rPr>
        <w:t>Renewal. Upon expiration of the Initial Term, this Agreement shall automatically renew for successive twelve (12) month periods (each a “Renewal Term”), unless either Party provides written notice of non-renewal at least sixty (60) days prior to the expiration of the then-current term. Technijian shall send Client a written renewal reminder at least thirty (30) days prior to each renewal date, which shall restate the auto-renewal terms and cancellation method.</w:t>
      </w:r>
    </w:p>
    <w:p>
      <w:pPr>
        <w:spacing w:after="60"/>
      </w:pPr>
      <w:r>
        <w:rPr>
          <w:rFonts w:ascii="Open Sans" w:hAnsi="Open Sans"/>
          <w:b/>
          <w:i w:val="0"/>
          <w:color w:val="006DB6"/>
          <w:sz w:val="20"/>
        </w:rPr>
        <w:t xml:space="preserve">2.03. </w:t>
      </w:r>
      <w:r>
        <w:rPr>
          <w:rFonts w:ascii="Open Sans" w:hAnsi="Open Sans"/>
          <w:b w:val="0"/>
          <w:i w:val="0"/>
          <w:color w:val="59595B"/>
          <w:sz w:val="20"/>
        </w:rPr>
        <w:t>Termination for Convenience. Either Party may terminate this Agreement for any reason upon sixty (60) days written notice to the other Party.</w:t>
      </w:r>
    </w:p>
    <w:p>
      <w:pPr>
        <w:spacing w:after="60"/>
      </w:pPr>
      <w:r>
        <w:rPr>
          <w:rFonts w:ascii="Open Sans" w:hAnsi="Open Sans"/>
          <w:b/>
          <w:i w:val="0"/>
          <w:color w:val="006DB6"/>
          <w:sz w:val="20"/>
        </w:rPr>
        <w:t xml:space="preserve">2.04. </w:t>
      </w:r>
      <w:r>
        <w:rPr>
          <w:rFonts w:ascii="Open Sans" w:hAnsi="Open Sans"/>
          <w:b w:val="0"/>
          <w:i w:val="0"/>
          <w:color w:val="59595B"/>
          <w:sz w:val="20"/>
        </w:rPr>
        <w:t>Termination for Cause. Either Party may terminate this Agreement immediately upon written notice if the other Party:</w:t>
      </w:r>
    </w:p>
    <w:p>
      <w:pPr>
        <w:spacing w:after="60"/>
      </w:pPr>
      <w:r>
        <w:rPr>
          <w:rFonts w:ascii="Open Sans" w:hAnsi="Open Sans"/>
          <w:b/>
          <w:i w:val="0"/>
          <w:color w:val="006DB6"/>
          <w:sz w:val="20"/>
        </w:rPr>
        <w:t xml:space="preserve">    (a) </w:t>
      </w:r>
      <w:r>
        <w:rPr>
          <w:rFonts w:ascii="Open Sans" w:hAnsi="Open Sans"/>
          <w:b w:val="0"/>
          <w:i w:val="0"/>
          <w:color w:val="59595B"/>
          <w:sz w:val="20"/>
        </w:rPr>
        <w:t>Commits a material breach of this Agreement and fails to cure such breach within thirty (30) days after receiving written notice of the breach; or</w:t>
      </w:r>
    </w:p>
    <w:p>
      <w:pPr>
        <w:spacing w:after="60"/>
      </w:pPr>
      <w:r>
        <w:rPr>
          <w:rFonts w:ascii="Open Sans" w:hAnsi="Open Sans"/>
          <w:b/>
          <w:i w:val="0"/>
          <w:color w:val="006DB6"/>
          <w:sz w:val="20"/>
        </w:rPr>
        <w:t xml:space="preserve">    (b) </w:t>
      </w:r>
      <w:r>
        <w:rPr>
          <w:rFonts w:ascii="Open Sans" w:hAnsi="Open Sans"/>
          <w:b w:val="0"/>
          <w:i w:val="0"/>
          <w:color w:val="59595B"/>
          <w:sz w:val="20"/>
        </w:rPr>
        <w:t>Becomes insolvent, files for bankruptcy, or has a receiver appointed for its assets.</w:t>
      </w:r>
    </w:p>
    <w:p>
      <w:pPr>
        <w:spacing w:after="60"/>
      </w:pPr>
      <w:r>
        <w:rPr>
          <w:rFonts w:ascii="Open Sans" w:hAnsi="Open Sans"/>
          <w:b/>
          <w:i w:val="0"/>
          <w:color w:val="006DB6"/>
          <w:sz w:val="20"/>
        </w:rPr>
        <w:t xml:space="preserve">2.05. </w:t>
      </w:r>
      <w:r>
        <w:rPr>
          <w:rFonts w:ascii="Open Sans" w:hAnsi="Open Sans"/>
          <w:b w:val="0"/>
          <w:i w:val="0"/>
          <w:color w:val="59595B"/>
          <w:sz w:val="20"/>
        </w:rPr>
        <w:t>Effect of Termination.</w:t>
      </w:r>
    </w:p>
    <w:p>
      <w:pPr>
        <w:spacing w:after="60"/>
      </w:pPr>
      <w:r>
        <w:rPr>
          <w:rFonts w:ascii="Open Sans" w:hAnsi="Open Sans"/>
          <w:b/>
          <w:i w:val="0"/>
          <w:color w:val="006DB6"/>
          <w:sz w:val="20"/>
        </w:rPr>
        <w:t xml:space="preserve">    (a) </w:t>
      </w:r>
      <w:r>
        <w:rPr>
          <w:rFonts w:ascii="Open Sans" w:hAnsi="Open Sans"/>
          <w:b w:val="0"/>
          <w:i w:val="0"/>
          <w:color w:val="59595B"/>
          <w:sz w:val="20"/>
        </w:rPr>
        <w:t>Upon termination, Client shall pay all fees and charges for services rendered through the date of termination, including any remaining obligations for annual licenses and subscriptions procured on Client’s behalf.</w:t>
      </w:r>
    </w:p>
    <w:p>
      <w:pPr>
        <w:spacing w:after="60"/>
      </w:pPr>
      <w:r>
        <w:rPr>
          <w:rFonts w:ascii="Open Sans" w:hAnsi="Open Sans"/>
          <w:b/>
          <w:i w:val="0"/>
          <w:color w:val="006DB6"/>
          <w:sz w:val="20"/>
        </w:rPr>
        <w:t xml:space="preserve">    (b) </w:t>
      </w:r>
      <w:r>
        <w:rPr>
          <w:rFonts w:ascii="Open Sans" w:hAnsi="Open Sans"/>
          <w:b w:val="0"/>
          <w:i w:val="0"/>
          <w:color w:val="59595B"/>
          <w:sz w:val="20"/>
        </w:rPr>
        <w:t>Technijian shall provide reasonable transition assistance for a period of up to thirty (30) days following termination, subject to payment of applicable fees.</w:t>
      </w:r>
    </w:p>
    <w:p>
      <w:pPr>
        <w:spacing w:after="60"/>
      </w:pPr>
      <w:r>
        <w:rPr>
          <w:rFonts w:ascii="Open Sans" w:hAnsi="Open Sans"/>
          <w:b/>
          <w:i w:val="0"/>
          <w:color w:val="006DB6"/>
          <w:sz w:val="20"/>
        </w:rPr>
        <w:t xml:space="preserve">    (c) </w:t>
      </w:r>
      <w:r>
        <w:rPr>
          <w:rFonts w:ascii="Open Sans" w:hAnsi="Open Sans"/>
          <w:b w:val="0"/>
          <w:i w:val="0"/>
          <w:color w:val="59595B"/>
          <w:sz w:val="20"/>
        </w:rPr>
        <w:t>Technijian shall return all Client Data in its possession within thirty (30) days of termination, in a commercially standard format, provided Client is not in breach of this Agreement.</w:t>
      </w:r>
    </w:p>
    <w:p>
      <w:pPr>
        <w:spacing w:after="60"/>
      </w:pPr>
      <w:r>
        <w:rPr>
          <w:rFonts w:ascii="Open Sans" w:hAnsi="Open Sans"/>
          <w:b/>
          <w:i w:val="0"/>
          <w:color w:val="006DB6"/>
          <w:sz w:val="20"/>
        </w:rPr>
        <w:t xml:space="preserve">    (d) </w:t>
      </w:r>
      <w:r>
        <w:rPr>
          <w:rFonts w:ascii="Open Sans" w:hAnsi="Open Sans"/>
          <w:b w:val="0"/>
          <w:i w:val="0"/>
          <w:color w:val="59595B"/>
          <w:sz w:val="20"/>
        </w:rPr>
        <w:t>The following sections shall survive termination: Section 3 (Payment), Section 4 (Confidentiality), Section 5 (Limitation of Liability), Section 6 (Indemnification), Section 7 (Intellectual Property), Section 8 (Dispute Resolution), Section 9.09 (Personnel Transition Fee), Section 10 (Data Protection), and Section 11 (Insurance).</w:t>
      </w:r>
    </w:p>
    <w:p>
      <w:r>
        <w:br w:type="page"/>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SECTION 3 — PAYMENT</w:t>
            </w:r>
          </w:p>
        </w:tc>
      </w:tr>
    </w:tbl>
    <w:p>
      <w:pPr>
        <w:spacing w:after="60"/>
      </w:pPr>
      <w:r>
        <w:rPr>
          <w:rFonts w:ascii="Open Sans" w:hAnsi="Open Sans"/>
          <w:b/>
          <w:i w:val="0"/>
          <w:color w:val="006DB6"/>
          <w:sz w:val="20"/>
        </w:rPr>
        <w:t xml:space="preserve">3.01. </w:t>
      </w:r>
      <w:r>
        <w:rPr>
          <w:rFonts w:ascii="Open Sans" w:hAnsi="Open Sans"/>
          <w:b w:val="0"/>
          <w:i w:val="0"/>
          <w:color w:val="59595B"/>
          <w:sz w:val="20"/>
        </w:rPr>
        <w:t>Fees. Client shall pay fees for the services as set forth in the applicable Schedule, SOW, or invoice. Fees are exclusive of applicable taxes.</w:t>
      </w:r>
    </w:p>
    <w:p>
      <w:pPr>
        <w:spacing w:after="60"/>
      </w:pPr>
      <w:r>
        <w:rPr>
          <w:rFonts w:ascii="Open Sans" w:hAnsi="Open Sans"/>
          <w:b/>
          <w:i w:val="0"/>
          <w:color w:val="006DB6"/>
          <w:sz w:val="20"/>
        </w:rPr>
        <w:t xml:space="preserve">3.02. </w:t>
      </w:r>
      <w:r>
        <w:rPr>
          <w:rFonts w:ascii="Open Sans" w:hAnsi="Open Sans"/>
          <w:b w:val="0"/>
          <w:i w:val="0"/>
          <w:color w:val="59595B"/>
          <w:sz w:val="20"/>
        </w:rPr>
        <w:t>Invoice Types. Client may receive the following types of invoices from Technijian during the term of this Agreement. Each invoice will clearly identify its type, the applicable Schedule or SOW, and the billing period or delivery event.</w:t>
      </w:r>
    </w:p>
    <w:p>
      <w:pPr>
        <w:spacing w:after="60"/>
      </w:pPr>
      <w:r>
        <w:rPr>
          <w:rFonts w:ascii="Open Sans" w:hAnsi="Open Sans"/>
          <w:b/>
          <w:i w:val="0"/>
          <w:color w:val="006DB6"/>
          <w:sz w:val="20"/>
        </w:rPr>
        <w:t xml:space="preserve">    (a) </w:t>
      </w:r>
      <w:r>
        <w:rPr>
          <w:rFonts w:ascii="Open Sans" w:hAnsi="Open Sans"/>
          <w:b w:val="0"/>
          <w:i w:val="0"/>
          <w:color w:val="59595B"/>
          <w:sz w:val="20"/>
        </w:rPr>
        <w:t>Monthly Service Invoice. Issued on the first business day of each month for recurring managed services under Schedule A (Online Services, infrastructure, monitoring, desktop/server management). Billed in advance for the upcoming month.</w:t>
      </w:r>
    </w:p>
    <w:p>
      <w:pPr>
        <w:spacing w:after="60"/>
      </w:pPr>
      <w:r>
        <w:rPr>
          <w:rFonts w:ascii="Open Sans" w:hAnsi="Open Sans"/>
          <w:b/>
          <w:i w:val="0"/>
          <w:color w:val="006DB6"/>
          <w:sz w:val="20"/>
        </w:rPr>
        <w:t xml:space="preserve">    (b) </w:t>
      </w:r>
      <w:r>
        <w:rPr>
          <w:rFonts w:ascii="Open Sans" w:hAnsi="Open Sans"/>
          <w:b w:val="0"/>
          <w:i w:val="0"/>
          <w:color w:val="59595B"/>
          <w:sz w:val="20"/>
        </w:rPr>
        <w:t>Monthly Recurring Subscription Invoice. Issued on the first business day of each month for subscription and license services under Schedule B (software licenses, SaaS subscriptions, SIP trunk services). Billed in advance for the upcoming month.</w:t>
      </w:r>
    </w:p>
    <w:p>
      <w:pPr>
        <w:spacing w:after="60"/>
      </w:pPr>
      <w:r>
        <w:rPr>
          <w:rFonts w:ascii="Open Sans" w:hAnsi="Open Sans"/>
          <w:b/>
          <w:i w:val="0"/>
          <w:color w:val="006DB6"/>
          <w:sz w:val="20"/>
        </w:rPr>
        <w:t xml:space="preserve">    (c) </w:t>
      </w:r>
      <w:r>
        <w:rPr>
          <w:rFonts w:ascii="Open Sans" w:hAnsi="Open Sans"/>
          <w:b w:val="0"/>
          <w:i w:val="0"/>
          <w:color w:val="59595B"/>
          <w:sz w:val="20"/>
        </w:rPr>
        <w:t>Weekly In-Contract Invoice. Issued every Friday for Virtual Staff (contracted support) services performed under Schedule A, Part 3, during the preceding week (Monday through Friday). Each invoice includes: (i) a listing of each support ticket addressed; (ii) the assigned resource, role, and hours spent per ticket; (iii) a description of the work performed per ticket; (iv) whether work was performed during normal or after-hours; and (v) the current running balance for each contracted role. The weekly in-contract invoice is issued for transparency and tracking purposes; the actual billed amount is governed by the cycle-based billing model described in Schedule A, Section 3.3.</w:t>
      </w:r>
    </w:p>
    <w:p>
      <w:pPr>
        <w:spacing w:after="60"/>
      </w:pPr>
      <w:r>
        <w:rPr>
          <w:rFonts w:ascii="Open Sans" w:hAnsi="Open Sans"/>
          <w:b/>
          <w:i w:val="0"/>
          <w:color w:val="006DB6"/>
          <w:sz w:val="20"/>
        </w:rPr>
        <w:t xml:space="preserve">    (d) </w:t>
      </w:r>
      <w:r>
        <w:rPr>
          <w:rFonts w:ascii="Open Sans" w:hAnsi="Open Sans"/>
          <w:b w:val="0"/>
          <w:i w:val="0"/>
          <w:color w:val="59595B"/>
          <w:sz w:val="20"/>
        </w:rPr>
        <w:t>Weekly Out-of-Contract Invoice. Issued every Friday for labor services performed outside the scope of any active Schedule or SOW — including ad-hoc support requests, emergency work, and services performed under a SOW with hourly billing (such as CTO Advisory engagements). Each invoice includes: (i) a listing of each support ticket or task performed; (ii) the assigned resource, role, and applicable hourly rate from the Rate Card (Schedule C); (iii) time entries with hours billed per activity (in 15-minute increments); (iv) whether work was performed during normal or after-hours; and (v) the total hours and total amount for the week.</w:t>
      </w:r>
    </w:p>
    <w:p>
      <w:pPr>
        <w:spacing w:after="60"/>
      </w:pPr>
      <w:r>
        <w:rPr>
          <w:rFonts w:ascii="Open Sans" w:hAnsi="Open Sans"/>
          <w:b/>
          <w:i w:val="0"/>
          <w:color w:val="006DB6"/>
          <w:sz w:val="20"/>
        </w:rPr>
        <w:t xml:space="preserve">    (e) </w:t>
      </w:r>
      <w:r>
        <w:rPr>
          <w:rFonts w:ascii="Open Sans" w:hAnsi="Open Sans"/>
          <w:b w:val="0"/>
          <w:i w:val="0"/>
          <w:color w:val="59595B"/>
          <w:sz w:val="20"/>
        </w:rPr>
        <w:t>Equipment and Materials Invoice. Issued upon delivery or procurement of hardware, software licenses (perpetual), or other tangible goods on Client’s behalf. Each invoice includes: (i) item description, manufacturer, and model/part number; (ii) quantity and unit price; (iii) applicable sales tax; (iv) shipping and handling charges, if any; and (v) total amount due. Title to equipment shall not pass to Client until payment is received in full.</w:t>
      </w:r>
    </w:p>
    <w:p>
      <w:pPr>
        <w:spacing w:after="60"/>
      </w:pPr>
      <w:r>
        <w:rPr>
          <w:rFonts w:ascii="Open Sans" w:hAnsi="Open Sans"/>
          <w:b/>
          <w:i w:val="0"/>
          <w:color w:val="006DB6"/>
          <w:sz w:val="20"/>
        </w:rPr>
        <w:t xml:space="preserve">    (f) </w:t>
      </w:r>
      <w:r>
        <w:rPr>
          <w:rFonts w:ascii="Open Sans" w:hAnsi="Open Sans"/>
          <w:b w:val="0"/>
          <w:i w:val="0"/>
          <w:color w:val="59595B"/>
          <w:sz w:val="20"/>
        </w:rPr>
        <w:t>Project Milestone Invoice. Issued upon completion of a project milestone as defined in an applicable SOW. The milestone, deliverables, and invoiced amount are as specified in the payment schedule of the SOW. Milestone invoices are billed in arrears upon acceptance of the deliverables or deemed acceptance under the SOW’s acceptance provisions.</w:t>
      </w:r>
    </w:p>
    <w:p>
      <w:pPr>
        <w:spacing w:after="60"/>
      </w:pPr>
      <w:r>
        <w:rPr>
          <w:rFonts w:ascii="Open Sans" w:hAnsi="Open Sans"/>
          <w:b/>
          <w:i w:val="0"/>
          <w:color w:val="006DB6"/>
          <w:sz w:val="20"/>
        </w:rPr>
        <w:t xml:space="preserve">3.03. </w:t>
      </w:r>
      <w:r>
        <w:rPr>
          <w:rFonts w:ascii="Open Sans" w:hAnsi="Open Sans"/>
          <w:b w:val="0"/>
          <w:i w:val="0"/>
          <w:color w:val="59595B"/>
          <w:sz w:val="20"/>
        </w:rPr>
        <w:t>Payment Terms. All invoices are due and payable within thirty (30) days of the invoice date, unless otherwise specified in the applicable Schedule or SOW.</w:t>
      </w:r>
    </w:p>
    <w:p>
      <w:pPr>
        <w:spacing w:after="60"/>
      </w:pPr>
      <w:r>
        <w:rPr>
          <w:rFonts w:ascii="Open Sans" w:hAnsi="Open Sans"/>
          <w:b/>
          <w:i w:val="0"/>
          <w:color w:val="006DB6"/>
          <w:sz w:val="20"/>
        </w:rPr>
        <w:t xml:space="preserve">3.04. </w:t>
      </w:r>
      <w:r>
        <w:rPr>
          <w:rFonts w:ascii="Open Sans" w:hAnsi="Open Sans"/>
          <w:b w:val="0"/>
          <w:i w:val="0"/>
          <w:color w:val="59595B"/>
          <w:sz w:val="20"/>
        </w:rPr>
        <w:t>Late Payment. Invoices not paid within terms shall accrue a late fee of 1.5% per month (or the maximum rate permitted by law, whichever is less) on the unpaid balance, calculated as simple interest from the date payment was due until the date payment is received in full. Late fees are payable in addition to the outstanding principal amount. The Parties acknowledge that the late fee represents a reasonable estimate of Technijian’s administrative costs and damages resulting from late payment, including cash-flow disruption, collection overhead, and the cost of carrying accounts receivable, and is not intended as a penalty.</w:t>
      </w:r>
    </w:p>
    <w:p>
      <w:pPr>
        <w:spacing w:after="60"/>
      </w:pPr>
      <w:r>
        <w:rPr>
          <w:rFonts w:ascii="Open Sans" w:hAnsi="Open Sans"/>
          <w:b/>
          <w:i w:val="0"/>
          <w:color w:val="006DB6"/>
          <w:sz w:val="20"/>
        </w:rPr>
        <w:t xml:space="preserve">3.05. </w:t>
      </w:r>
      <w:r>
        <w:rPr>
          <w:rFonts w:ascii="Open Sans" w:hAnsi="Open Sans"/>
          <w:b w:val="0"/>
          <w:i w:val="0"/>
          <w:color w:val="59595B"/>
          <w:sz w:val="20"/>
        </w:rPr>
        <w:t>Disputed Invoices.</w:t>
      </w:r>
    </w:p>
    <w:p>
      <w:pPr>
        <w:spacing w:after="60"/>
      </w:pPr>
      <w:r>
        <w:rPr>
          <w:rFonts w:ascii="Open Sans" w:hAnsi="Open Sans"/>
          <w:b/>
          <w:i w:val="0"/>
          <w:color w:val="006DB6"/>
          <w:sz w:val="20"/>
        </w:rPr>
        <w:t xml:space="preserve">    (a) </w:t>
      </w:r>
      <w:r>
        <w:rPr>
          <w:rFonts w:ascii="Open Sans" w:hAnsi="Open Sans"/>
          <w:b w:val="0"/>
          <w:i w:val="0"/>
          <w:color w:val="59595B"/>
          <w:sz w:val="20"/>
        </w:rPr>
        <w:t>Weekly Invoices (In-Contract and Out-of-Contract). Because weekly invoices include detailed ticket descriptions and time entries, Client shall have thirty (30) days from the invoice date to review and dispute any portion of a weekly invoice. Client shall notify Technijian in writing, specifying the ticket number(s) and nature of the dispute. Undisputed tickets and time entries on the same invoice shall remain payable by the due date. Failure to provide a timely written dispute notice within the thirty (30) day period shall constitute acceptance of all tickets and time entries on the invoice.</w:t>
      </w:r>
    </w:p>
    <w:p>
      <w:pPr>
        <w:spacing w:after="60"/>
      </w:pPr>
      <w:r>
        <w:rPr>
          <w:rFonts w:ascii="Open Sans" w:hAnsi="Open Sans"/>
          <w:b/>
          <w:i w:val="0"/>
          <w:color w:val="006DB6"/>
          <w:sz w:val="20"/>
        </w:rPr>
        <w:t xml:space="preserve">    (b) </w:t>
      </w:r>
      <w:r>
        <w:rPr>
          <w:rFonts w:ascii="Open Sans" w:hAnsi="Open Sans"/>
          <w:b w:val="0"/>
          <w:i w:val="0"/>
          <w:color w:val="59595B"/>
          <w:sz w:val="20"/>
        </w:rPr>
        <w:t>All Other Invoices. For monthly service invoices, monthly recurring subscription invoices, equipment invoices, and project milestone invoices, Client shall notify Technijian in writing within fifteen (15) days of the invoice date if Client disputes any portion, specifying the nature and basis of the dispute. Client shall pay all undisputed amounts by the due date. Failure to provide a timely written dispute notice shall constitute acceptance of the invoice.</w:t>
      </w:r>
    </w:p>
    <w:p>
      <w:pPr>
        <w:spacing w:after="60"/>
      </w:pPr>
      <w:r>
        <w:rPr>
          <w:rFonts w:ascii="Open Sans" w:hAnsi="Open Sans"/>
          <w:b/>
          <w:i w:val="0"/>
          <w:color w:val="006DB6"/>
          <w:sz w:val="20"/>
        </w:rPr>
        <w:t xml:space="preserve">    (c) </w:t>
      </w:r>
      <w:r>
        <w:rPr>
          <w:rFonts w:ascii="Open Sans" w:hAnsi="Open Sans"/>
          <w:b w:val="0"/>
          <w:i w:val="0"/>
          <w:color w:val="59595B"/>
          <w:sz w:val="20"/>
        </w:rPr>
        <w:t>Resolution. The Parties shall work in good faith to resolve any invoice dispute within thirty (30) days of the dispute notice. If the dispute results in an adjustment, Technijian shall issue a credit memo or revised invoice within ten (10) business days of resolution.</w:t>
      </w:r>
    </w:p>
    <w:p>
      <w:pPr>
        <w:spacing w:after="60"/>
      </w:pPr>
      <w:r>
        <w:rPr>
          <w:rFonts w:ascii="Open Sans" w:hAnsi="Open Sans"/>
          <w:b/>
          <w:i w:val="0"/>
          <w:color w:val="006DB6"/>
          <w:sz w:val="20"/>
        </w:rPr>
        <w:t xml:space="preserve">3.06. </w:t>
      </w:r>
      <w:r>
        <w:rPr>
          <w:rFonts w:ascii="Open Sans" w:hAnsi="Open Sans"/>
          <w:b w:val="0"/>
          <w:i w:val="0"/>
          <w:color w:val="59595B"/>
          <w:sz w:val="20"/>
        </w:rPr>
        <w:t>Suspension of Services. If Client fails to pay any undisputed invoice within thirty (30) days of the due date, Technijian may, upon ten (10) days written notice, suspend services under the Schedule or SOW associated with the unpaid invoice until payment is received in full, including all accrued late fees. If Client fails to pay any undisputed invoice within sixty (60) days of the due date, Technijian may suspend all services under this Agreement and any related Schedules or SOWs. Recurring fees for suspended services shall continue to accrue for a period not to exceed thirty (30) days following the date of suspension, after which Technijian may terminate the affected Schedule, SOW, or this Agreement upon written notice. Suspension of services shall not relieve Client of its payment obligations.</w:t>
      </w:r>
    </w:p>
    <w:p>
      <w:pPr>
        <w:spacing w:after="60"/>
      </w:pPr>
      <w:r>
        <w:rPr>
          <w:rFonts w:ascii="Open Sans" w:hAnsi="Open Sans"/>
          <w:b/>
          <w:i w:val="0"/>
          <w:color w:val="006DB6"/>
          <w:sz w:val="20"/>
        </w:rPr>
        <w:t xml:space="preserve">3.07. </w:t>
      </w:r>
      <w:r>
        <w:rPr>
          <w:rFonts w:ascii="Open Sans" w:hAnsi="Open Sans"/>
          <w:b w:val="0"/>
          <w:i w:val="0"/>
          <w:color w:val="59595B"/>
          <w:sz w:val="20"/>
        </w:rPr>
        <w:t>Taxes. Client shall be responsible for all applicable sales, use, and other taxes arising from the services, excluding taxes based on Technijian’s income.</w:t>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SECTION 4 — CONFIDENTIALITY</w:t>
            </w:r>
          </w:p>
        </w:tc>
      </w:tr>
    </w:tbl>
    <w:p>
      <w:pPr>
        <w:spacing w:after="60"/>
      </w:pPr>
      <w:r>
        <w:rPr>
          <w:rFonts w:ascii="Open Sans" w:hAnsi="Open Sans"/>
          <w:b/>
          <w:i w:val="0"/>
          <w:color w:val="006DB6"/>
          <w:sz w:val="20"/>
        </w:rPr>
        <w:t xml:space="preserve">4.01. </w:t>
      </w:r>
      <w:r>
        <w:rPr>
          <w:rFonts w:ascii="Open Sans" w:hAnsi="Open Sans"/>
          <w:b w:val="0"/>
          <w:i w:val="0"/>
          <w:color w:val="59595B"/>
          <w:sz w:val="20"/>
        </w:rPr>
        <w:t>Definition. “Confidential Information” means any non-public information disclosed by either Party to the other in connection with this Agreement, including business, technical, and financial information.</w:t>
      </w:r>
    </w:p>
    <w:p>
      <w:pPr>
        <w:spacing w:after="60"/>
      </w:pPr>
      <w:r>
        <w:rPr>
          <w:rFonts w:ascii="Open Sans" w:hAnsi="Open Sans"/>
          <w:b/>
          <w:i w:val="0"/>
          <w:color w:val="006DB6"/>
          <w:sz w:val="20"/>
        </w:rPr>
        <w:t xml:space="preserve">4.02. </w:t>
      </w:r>
      <w:r>
        <w:rPr>
          <w:rFonts w:ascii="Open Sans" w:hAnsi="Open Sans"/>
          <w:b w:val="0"/>
          <w:i w:val="0"/>
          <w:color w:val="59595B"/>
          <w:sz w:val="20"/>
        </w:rPr>
        <w:t>Obligations. Each Party shall:</w:t>
      </w:r>
    </w:p>
    <w:p>
      <w:pPr>
        <w:spacing w:after="60"/>
      </w:pPr>
      <w:r>
        <w:rPr>
          <w:rFonts w:ascii="Open Sans" w:hAnsi="Open Sans"/>
          <w:b/>
          <w:i w:val="0"/>
          <w:color w:val="006DB6"/>
          <w:sz w:val="20"/>
        </w:rPr>
        <w:t xml:space="preserve">    (a) </w:t>
      </w:r>
      <w:r>
        <w:rPr>
          <w:rFonts w:ascii="Open Sans" w:hAnsi="Open Sans"/>
          <w:b w:val="0"/>
          <w:i w:val="0"/>
          <w:color w:val="59595B"/>
          <w:sz w:val="20"/>
        </w:rPr>
        <w:t>Hold the other Party’s Confidential Information in confidence using at least the same degree of care it uses for its own confidential information, but not less than reasonable care;</w:t>
      </w:r>
    </w:p>
    <w:p>
      <w:pPr>
        <w:spacing w:after="60"/>
      </w:pPr>
      <w:r>
        <w:rPr>
          <w:rFonts w:ascii="Open Sans" w:hAnsi="Open Sans"/>
          <w:b/>
          <w:i w:val="0"/>
          <w:color w:val="006DB6"/>
          <w:sz w:val="20"/>
        </w:rPr>
        <w:t xml:space="preserve">    (b) </w:t>
      </w:r>
      <w:r>
        <w:rPr>
          <w:rFonts w:ascii="Open Sans" w:hAnsi="Open Sans"/>
          <w:b w:val="0"/>
          <w:i w:val="0"/>
          <w:color w:val="59595B"/>
          <w:sz w:val="20"/>
        </w:rPr>
        <w:t>Not disclose Confidential Information to third parties without prior written consent, except to employees, agents, and subcontractors who have a need to know and are bound by equivalent obligations; and</w:t>
      </w:r>
    </w:p>
    <w:p>
      <w:pPr>
        <w:spacing w:after="60"/>
      </w:pPr>
      <w:r>
        <w:rPr>
          <w:rFonts w:ascii="Open Sans" w:hAnsi="Open Sans"/>
          <w:b/>
          <w:i w:val="0"/>
          <w:color w:val="006DB6"/>
          <w:sz w:val="20"/>
        </w:rPr>
        <w:t xml:space="preserve">    (c) </w:t>
      </w:r>
      <w:r>
        <w:rPr>
          <w:rFonts w:ascii="Open Sans" w:hAnsi="Open Sans"/>
          <w:b w:val="0"/>
          <w:i w:val="0"/>
          <w:color w:val="59595B"/>
          <w:sz w:val="20"/>
        </w:rPr>
        <w:t>Not use Confidential Information for any purpose other than performing obligations under this Agreement.</w:t>
      </w:r>
    </w:p>
    <w:p>
      <w:pPr>
        <w:spacing w:after="60"/>
      </w:pPr>
      <w:r>
        <w:rPr>
          <w:rFonts w:ascii="Open Sans" w:hAnsi="Open Sans"/>
          <w:b/>
          <w:i w:val="0"/>
          <w:color w:val="006DB6"/>
          <w:sz w:val="20"/>
        </w:rPr>
        <w:t xml:space="preserve">4.03. </w:t>
      </w:r>
      <w:r>
        <w:rPr>
          <w:rFonts w:ascii="Open Sans" w:hAnsi="Open Sans"/>
          <w:b w:val="0"/>
          <w:i w:val="0"/>
          <w:color w:val="59595B"/>
          <w:sz w:val="20"/>
        </w:rPr>
        <w:t>Exclusions. Confidential Information does not include information that is or becomes publicly available through no fault of the receiving Party, was known to the receiving Party prior to disclosure, is independently developed, or is received from a third party without restriction.</w:t>
      </w:r>
    </w:p>
    <w:p>
      <w:pPr>
        <w:spacing w:after="60"/>
      </w:pPr>
      <w:r>
        <w:rPr>
          <w:rFonts w:ascii="Open Sans" w:hAnsi="Open Sans"/>
          <w:b/>
          <w:i w:val="0"/>
          <w:color w:val="006DB6"/>
          <w:sz w:val="20"/>
        </w:rPr>
        <w:t xml:space="preserve">4.04. </w:t>
      </w:r>
      <w:r>
        <w:rPr>
          <w:rFonts w:ascii="Open Sans" w:hAnsi="Open Sans"/>
          <w:b w:val="0"/>
          <w:i w:val="0"/>
          <w:color w:val="59595B"/>
          <w:sz w:val="20"/>
        </w:rPr>
        <w:t>Compelled Disclosure. If required by law or court order to disclose Confidential Information, the receiving Party shall provide prompt written notice to the disclosing Party and cooperate in seeking a protective order.</w:t>
      </w:r>
    </w:p>
    <w:p>
      <w:pPr>
        <w:spacing w:after="60"/>
      </w:pPr>
      <w:r>
        <w:rPr>
          <w:rFonts w:ascii="Open Sans" w:hAnsi="Open Sans"/>
          <w:b/>
          <w:i w:val="0"/>
          <w:color w:val="006DB6"/>
          <w:sz w:val="20"/>
        </w:rPr>
        <w:t xml:space="preserve">4.05. </w:t>
      </w:r>
      <w:r>
        <w:rPr>
          <w:rFonts w:ascii="Open Sans" w:hAnsi="Open Sans"/>
          <w:b w:val="0"/>
          <w:i w:val="0"/>
          <w:color w:val="59595B"/>
          <w:sz w:val="20"/>
        </w:rPr>
        <w:t>Duration. Confidentiality obligations shall survive termination for a period of three (3) years.</w:t>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SECTION 5 — LIMITATION OF LIABILITY</w:t>
            </w:r>
          </w:p>
        </w:tc>
      </w:tr>
    </w:tbl>
    <w:p>
      <w:pPr>
        <w:spacing w:after="60"/>
      </w:pPr>
      <w:r>
        <w:rPr>
          <w:rFonts w:ascii="Open Sans" w:hAnsi="Open Sans"/>
          <w:b/>
          <w:i w:val="0"/>
          <w:color w:val="006DB6"/>
          <w:sz w:val="20"/>
        </w:rPr>
        <w:t xml:space="preserve">5.01. </w:t>
      </w:r>
      <w:r>
        <w:rPr>
          <w:rFonts w:ascii="Open Sans" w:hAnsi="Open Sans"/>
          <w:b w:val="0"/>
          <w:i w:val="0"/>
          <w:color w:val="59595B"/>
          <w:sz w:val="20"/>
        </w:rPr>
        <w:t>EXCEPT AS PROVIDED IN SECTION 5.03 BELOW, NEITHER PARTY’S TOTAL AGGREGATE LIABILITY UNDER THIS AGREEMENT SHALL EXCEED THE TOTAL FEES PAID OR PAYABLE BY CLIENT UNDER THIS AGREEMENT DURING THE TWELVE (12) MONTH PERIOD IMMEDIATELY PRECEDING THE EVENT GIVING RISE TO THE CLAIM (THE “STANDARD CAP”).</w:t>
      </w:r>
    </w:p>
    <w:p>
      <w:pPr>
        <w:spacing w:after="60"/>
      </w:pPr>
      <w:r>
        <w:rPr>
          <w:rFonts w:ascii="Open Sans" w:hAnsi="Open Sans"/>
          <w:b/>
          <w:i w:val="0"/>
          <w:color w:val="006DB6"/>
          <w:sz w:val="20"/>
        </w:rPr>
        <w:t xml:space="preserve">5.02. </w:t>
      </w:r>
      <w:r>
        <w:rPr>
          <w:rFonts w:ascii="Open Sans" w:hAnsi="Open Sans"/>
          <w:b w:val="0"/>
          <w:i w:val="0"/>
          <w:color w:val="59595B"/>
          <w:sz w:val="20"/>
        </w:rPr>
        <w:t>EXCEPT AS PROVIDED IN SECTION 5.03 BELOW, IN NO EVENT SHALL EITHER PARTY BE LIABLE FOR ANY INDIRECT, INCIDENTAL, SPECIAL, CONSEQUENTIAL, OR PUNITIVE DAMAGES, INCLUDING LOSS OF PROFITS, DATA, BUSINESS OPPORTUNITY, OR GOODWILL, REGARDLESS OF WHETHER SUCH DAMAGES WERE FORESEEABLE OR WHETHER EITHER PARTY HAS BEEN ADVISED OF THE POSSIBILITY OF SUCH DAMAGES.</w:t>
      </w:r>
    </w:p>
    <w:p>
      <w:pPr>
        <w:spacing w:after="60"/>
      </w:pPr>
      <w:r>
        <w:rPr>
          <w:rFonts w:ascii="Open Sans" w:hAnsi="Open Sans"/>
          <w:b/>
          <w:i w:val="0"/>
          <w:color w:val="006DB6"/>
          <w:sz w:val="20"/>
        </w:rPr>
        <w:t xml:space="preserve">5.03. </w:t>
      </w:r>
      <w:r>
        <w:rPr>
          <w:rFonts w:ascii="Open Sans" w:hAnsi="Open Sans"/>
          <w:b w:val="0"/>
          <w:i w:val="0"/>
          <w:color w:val="59595B"/>
          <w:sz w:val="20"/>
        </w:rPr>
        <w:t>ENHANCED CAP FOR CERTAIN CLAIMS. FOR CLAIMS ARISING FROM BREACHES OF SECTION 4 (CONFIDENTIALITY), SECTION 10 (DATA PROTECTION), INDEMNIFICATION OBLIGATIONS UNDER SECTION 6, WILLFUL MISCONDUCT, OR GROSS NEGLIGENCE, THE TOTAL AGGREGATE LIABILITY OF THE RESPONSIBLE PARTY SHALL NOT EXCEED THREE (3) TIMES THE STANDARD CAP DEFINED IN SECTION 5.01 (THE “ENHANCED CAP”). THE ENHANCED CAP SHALL NOT APPLY TO LIABILITY ARISING FROM A PARTY’S WILLFUL AND INTENTIONAL MISAPPROPRIATION OF THE OTHER PARTY’S CONFIDENTIAL INFORMATION OR CLIENT DATA, FOR WHICH LIABILITY SHALL BE UNCAPPED.</w:t>
      </w:r>
    </w:p>
    <w:p>
      <w:pPr>
        <w:spacing w:after="60"/>
      </w:pPr>
      <w:r>
        <w:rPr>
          <w:rFonts w:ascii="Open Sans" w:hAnsi="Open Sans"/>
          <w:b/>
          <w:i w:val="0"/>
          <w:color w:val="006DB6"/>
          <w:sz w:val="20"/>
        </w:rPr>
        <w:t xml:space="preserve">5.04. </w:t>
      </w:r>
      <w:r>
        <w:rPr>
          <w:rFonts w:ascii="Open Sans" w:hAnsi="Open Sans"/>
          <w:b w:val="0"/>
          <w:i w:val="0"/>
          <w:color w:val="59595B"/>
          <w:sz w:val="20"/>
        </w:rPr>
        <w:t>Data Liability. While Technijian shall use commercially reasonable efforts to protect Client Data, Client acknowledges that Client is solely responsible for maintaining backup copies of its data.</w:t>
      </w:r>
    </w:p>
    <w:p>
      <w:r>
        <w:br w:type="page"/>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SECTION 6 — INDEMNIFICATION</w:t>
            </w:r>
          </w:p>
        </w:tc>
      </w:tr>
    </w:tbl>
    <w:p>
      <w:pPr>
        <w:spacing w:after="60"/>
      </w:pPr>
      <w:r>
        <w:rPr>
          <w:rFonts w:ascii="Open Sans" w:hAnsi="Open Sans"/>
          <w:b/>
          <w:i w:val="0"/>
          <w:color w:val="006DB6"/>
          <w:sz w:val="20"/>
        </w:rPr>
        <w:t xml:space="preserve">6.01. </w:t>
      </w:r>
      <w:r>
        <w:rPr>
          <w:rFonts w:ascii="Open Sans" w:hAnsi="Open Sans"/>
          <w:b w:val="0"/>
          <w:i w:val="0"/>
          <w:color w:val="59595B"/>
          <w:sz w:val="20"/>
        </w:rPr>
        <w:t>By Technijian. Technijian shall indemnify, defend, and hold harmless Client from and against any third-party claims arising from Technijian’s gross negligence or willful misconduct in performing the services.</w:t>
      </w:r>
    </w:p>
    <w:p>
      <w:pPr>
        <w:spacing w:after="60"/>
      </w:pPr>
      <w:r>
        <w:rPr>
          <w:rFonts w:ascii="Open Sans" w:hAnsi="Open Sans"/>
          <w:b/>
          <w:i w:val="0"/>
          <w:color w:val="006DB6"/>
          <w:sz w:val="20"/>
        </w:rPr>
        <w:t xml:space="preserve">6.02. </w:t>
      </w:r>
      <w:r>
        <w:rPr>
          <w:rFonts w:ascii="Open Sans" w:hAnsi="Open Sans"/>
          <w:b w:val="0"/>
          <w:i w:val="0"/>
          <w:color w:val="59595B"/>
          <w:sz w:val="20"/>
        </w:rPr>
        <w:t>By Client. Client shall indemnify, defend, and hold harmless Technijian from and against any third-party claims arising from Client’s use of the services in violation of applicable law, Client’s breach of this Agreement, or any data, content, or materials provided by Client.</w:t>
      </w:r>
    </w:p>
    <w:p>
      <w:pPr>
        <w:spacing w:after="60"/>
      </w:pPr>
      <w:r>
        <w:rPr>
          <w:rFonts w:ascii="Open Sans" w:hAnsi="Open Sans"/>
          <w:b/>
          <w:i w:val="0"/>
          <w:color w:val="006DB6"/>
          <w:sz w:val="20"/>
        </w:rPr>
        <w:t xml:space="preserve">6.03. </w:t>
      </w:r>
      <w:r>
        <w:rPr>
          <w:rFonts w:ascii="Open Sans" w:hAnsi="Open Sans"/>
          <w:b w:val="0"/>
          <w:i w:val="0"/>
          <w:color w:val="59595B"/>
          <w:sz w:val="20"/>
        </w:rPr>
        <w:t>Procedure. The indemnified Party shall provide prompt written notice of any claim, cooperate with the indemnifying Party in the defense, and not settle any claim without the indemnifying Party’s prior written consent.</w:t>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SECTION 7 — INTELLECTUAL PROPERTY</w:t>
            </w:r>
          </w:p>
        </w:tc>
      </w:tr>
    </w:tbl>
    <w:p>
      <w:pPr>
        <w:spacing w:after="60"/>
      </w:pPr>
      <w:r>
        <w:rPr>
          <w:rFonts w:ascii="Open Sans" w:hAnsi="Open Sans"/>
          <w:b/>
          <w:i w:val="0"/>
          <w:color w:val="006DB6"/>
          <w:sz w:val="20"/>
        </w:rPr>
        <w:t xml:space="preserve">7.01. </w:t>
      </w:r>
      <w:r>
        <w:rPr>
          <w:rFonts w:ascii="Open Sans" w:hAnsi="Open Sans"/>
          <w:b w:val="0"/>
          <w:i w:val="0"/>
          <w:color w:val="59595B"/>
          <w:sz w:val="20"/>
        </w:rPr>
        <w:t>Technijian IP. Technijian retains all right, title, and interest in its proprietary tools, methodologies, software, and processes.</w:t>
      </w:r>
    </w:p>
    <w:p>
      <w:pPr>
        <w:spacing w:after="60"/>
      </w:pPr>
      <w:r>
        <w:rPr>
          <w:rFonts w:ascii="Open Sans" w:hAnsi="Open Sans"/>
          <w:b/>
          <w:i w:val="0"/>
          <w:color w:val="006DB6"/>
          <w:sz w:val="20"/>
        </w:rPr>
        <w:t xml:space="preserve">7.02. </w:t>
      </w:r>
      <w:r>
        <w:rPr>
          <w:rFonts w:ascii="Open Sans" w:hAnsi="Open Sans"/>
          <w:b w:val="0"/>
          <w:i w:val="0"/>
          <w:color w:val="59595B"/>
          <w:sz w:val="20"/>
        </w:rPr>
        <w:t>Client IP. Client retains all right, title, and interest in its data, content, and pre-existing intellectual property.</w:t>
      </w:r>
    </w:p>
    <w:p>
      <w:pPr>
        <w:spacing w:after="60"/>
      </w:pPr>
      <w:r>
        <w:rPr>
          <w:rFonts w:ascii="Open Sans" w:hAnsi="Open Sans"/>
          <w:b/>
          <w:i w:val="0"/>
          <w:color w:val="006DB6"/>
          <w:sz w:val="20"/>
        </w:rPr>
        <w:t xml:space="preserve">7.03. </w:t>
      </w:r>
      <w:r>
        <w:rPr>
          <w:rFonts w:ascii="Open Sans" w:hAnsi="Open Sans"/>
          <w:b w:val="0"/>
          <w:i w:val="0"/>
          <w:color w:val="59595B"/>
          <w:sz w:val="20"/>
        </w:rPr>
        <w:t>Custom Development. Ownership of any custom software or materials developed under a SOW shall be governed by the terms of that SOW.</w:t>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SECTION 8 — DISPUTE RESOLUTION</w:t>
            </w:r>
          </w:p>
        </w:tc>
      </w:tr>
    </w:tbl>
    <w:p>
      <w:pPr>
        <w:spacing w:after="60"/>
      </w:pPr>
      <w:r>
        <w:rPr>
          <w:rFonts w:ascii="Open Sans" w:hAnsi="Open Sans"/>
          <w:b/>
          <w:i w:val="0"/>
          <w:color w:val="006DB6"/>
          <w:sz w:val="20"/>
        </w:rPr>
        <w:t xml:space="preserve">8.01. </w:t>
      </w:r>
      <w:r>
        <w:rPr>
          <w:rFonts w:ascii="Open Sans" w:hAnsi="Open Sans"/>
          <w:b w:val="0"/>
          <w:i w:val="0"/>
          <w:color w:val="59595B"/>
          <w:sz w:val="20"/>
        </w:rPr>
        <w:t>Escalation. The Parties shall first attempt to resolve any dispute through good faith negotiations for a period of thirty (30) days.</w:t>
      </w:r>
    </w:p>
    <w:p>
      <w:pPr>
        <w:spacing w:after="60"/>
      </w:pPr>
      <w:r>
        <w:rPr>
          <w:rFonts w:ascii="Open Sans" w:hAnsi="Open Sans"/>
          <w:b/>
          <w:i w:val="0"/>
          <w:color w:val="006DB6"/>
          <w:sz w:val="20"/>
        </w:rPr>
        <w:t xml:space="preserve">8.02. </w:t>
      </w:r>
      <w:r>
        <w:rPr>
          <w:rFonts w:ascii="Open Sans" w:hAnsi="Open Sans"/>
          <w:b w:val="0"/>
          <w:i w:val="0"/>
          <w:color w:val="59595B"/>
          <w:sz w:val="20"/>
        </w:rPr>
        <w:t>Mediation. If not resolved, the Parties shall submit the dispute to mediation in Orange County, California, for a period not to exceed sixty (60) days.</w:t>
      </w:r>
    </w:p>
    <w:p>
      <w:pPr>
        <w:spacing w:after="60"/>
      </w:pPr>
      <w:r>
        <w:rPr>
          <w:rFonts w:ascii="Open Sans" w:hAnsi="Open Sans"/>
          <w:b/>
          <w:i w:val="0"/>
          <w:color w:val="006DB6"/>
          <w:sz w:val="20"/>
        </w:rPr>
        <w:t xml:space="preserve">8.03. </w:t>
      </w:r>
      <w:r>
        <w:rPr>
          <w:rFonts w:ascii="Open Sans" w:hAnsi="Open Sans"/>
          <w:b w:val="0"/>
          <w:i w:val="0"/>
          <w:color w:val="59595B"/>
          <w:sz w:val="20"/>
        </w:rPr>
        <w:t>Arbitration. If mediation fails, any remaining dispute shall be resolved by binding arbitration administered by the American Arbitration Association in Orange County, California.</w:t>
      </w:r>
    </w:p>
    <w:p>
      <w:pPr>
        <w:spacing w:after="60"/>
      </w:pPr>
      <w:r>
        <w:rPr>
          <w:rFonts w:ascii="Open Sans" w:hAnsi="Open Sans"/>
          <w:b/>
          <w:i w:val="0"/>
          <w:color w:val="006DB6"/>
          <w:sz w:val="20"/>
        </w:rPr>
        <w:t xml:space="preserve">8.04. </w:t>
      </w:r>
      <w:r>
        <w:rPr>
          <w:rFonts w:ascii="Open Sans" w:hAnsi="Open Sans"/>
          <w:b w:val="0"/>
          <w:i w:val="0"/>
          <w:color w:val="59595B"/>
          <w:sz w:val="20"/>
        </w:rPr>
        <w:t>Injunctive Relief. Nothing in this Section shall prevent either Party from seeking injunctive or other equitable relief to prevent irreparable harm.</w:t>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SECTION 9 — GENERAL PROVISIONS</w:t>
            </w:r>
          </w:p>
        </w:tc>
      </w:tr>
    </w:tbl>
    <w:p>
      <w:pPr>
        <w:spacing w:after="60"/>
      </w:pPr>
      <w:r>
        <w:rPr>
          <w:rFonts w:ascii="Open Sans" w:hAnsi="Open Sans"/>
          <w:b/>
          <w:i w:val="0"/>
          <w:color w:val="006DB6"/>
          <w:sz w:val="20"/>
        </w:rPr>
        <w:t xml:space="preserve">9.01. </w:t>
      </w:r>
      <w:r>
        <w:rPr>
          <w:rFonts w:ascii="Open Sans" w:hAnsi="Open Sans"/>
          <w:b w:val="0"/>
          <w:i w:val="0"/>
          <w:color w:val="59595B"/>
          <w:sz w:val="20"/>
        </w:rPr>
        <w:t>Entire Agreement. This Agreement, together with its Schedules and any SOWs, constitutes the entire agreement between the Parties.</w:t>
      </w:r>
    </w:p>
    <w:p>
      <w:pPr>
        <w:spacing w:after="60"/>
      </w:pPr>
      <w:r>
        <w:rPr>
          <w:rFonts w:ascii="Open Sans" w:hAnsi="Open Sans"/>
          <w:b/>
          <w:i w:val="0"/>
          <w:color w:val="006DB6"/>
          <w:sz w:val="20"/>
        </w:rPr>
        <w:t xml:space="preserve">9.02. </w:t>
      </w:r>
      <w:r>
        <w:rPr>
          <w:rFonts w:ascii="Open Sans" w:hAnsi="Open Sans"/>
          <w:b w:val="0"/>
          <w:i w:val="0"/>
          <w:color w:val="59595B"/>
          <w:sz w:val="20"/>
        </w:rPr>
        <w:t>Amendment. This Agreement may only be amended by a written instrument signed by both Parties.</w:t>
      </w:r>
    </w:p>
    <w:p>
      <w:pPr>
        <w:spacing w:after="60"/>
      </w:pPr>
      <w:r>
        <w:rPr>
          <w:rFonts w:ascii="Open Sans" w:hAnsi="Open Sans"/>
          <w:b/>
          <w:i w:val="0"/>
          <w:color w:val="006DB6"/>
          <w:sz w:val="20"/>
        </w:rPr>
        <w:t xml:space="preserve">9.03. </w:t>
      </w:r>
      <w:r>
        <w:rPr>
          <w:rFonts w:ascii="Open Sans" w:hAnsi="Open Sans"/>
          <w:b w:val="0"/>
          <w:i w:val="0"/>
          <w:color w:val="59595B"/>
          <w:sz w:val="20"/>
        </w:rPr>
        <w:t>Severability. If any provision is found invalid or unenforceable, the remaining provisions shall continue in full force.</w:t>
      </w:r>
    </w:p>
    <w:p>
      <w:pPr>
        <w:spacing w:after="60"/>
      </w:pPr>
      <w:r>
        <w:rPr>
          <w:rFonts w:ascii="Open Sans" w:hAnsi="Open Sans"/>
          <w:b/>
          <w:i w:val="0"/>
          <w:color w:val="006DB6"/>
          <w:sz w:val="20"/>
        </w:rPr>
        <w:t xml:space="preserve">9.04. </w:t>
      </w:r>
      <w:r>
        <w:rPr>
          <w:rFonts w:ascii="Open Sans" w:hAnsi="Open Sans"/>
          <w:b w:val="0"/>
          <w:i w:val="0"/>
          <w:color w:val="59595B"/>
          <w:sz w:val="20"/>
        </w:rPr>
        <w:t>Waiver. No waiver of any provision shall be effective unless in writing and signed by the waiving Party.</w:t>
      </w:r>
    </w:p>
    <w:p>
      <w:pPr>
        <w:spacing w:after="60"/>
      </w:pPr>
      <w:r>
        <w:rPr>
          <w:rFonts w:ascii="Open Sans" w:hAnsi="Open Sans"/>
          <w:b/>
          <w:i w:val="0"/>
          <w:color w:val="006DB6"/>
          <w:sz w:val="20"/>
        </w:rPr>
        <w:t xml:space="preserve">9.05. </w:t>
      </w:r>
      <w:r>
        <w:rPr>
          <w:rFonts w:ascii="Open Sans" w:hAnsi="Open Sans"/>
          <w:b w:val="0"/>
          <w:i w:val="0"/>
          <w:color w:val="59595B"/>
          <w:sz w:val="20"/>
        </w:rPr>
        <w:t>Assignment. Neither Party may assign this Agreement without prior written consent, except in connection with a merger, acquisition, or sale of substantially all assets.</w:t>
      </w:r>
    </w:p>
    <w:p>
      <w:pPr>
        <w:spacing w:after="60"/>
      </w:pPr>
      <w:r>
        <w:rPr>
          <w:rFonts w:ascii="Open Sans" w:hAnsi="Open Sans"/>
          <w:b/>
          <w:i w:val="0"/>
          <w:color w:val="006DB6"/>
          <w:sz w:val="20"/>
        </w:rPr>
        <w:t xml:space="preserve">9.06. </w:t>
      </w:r>
      <w:r>
        <w:rPr>
          <w:rFonts w:ascii="Open Sans" w:hAnsi="Open Sans"/>
          <w:b w:val="0"/>
          <w:i w:val="0"/>
          <w:color w:val="59595B"/>
          <w:sz w:val="20"/>
        </w:rPr>
        <w:t>Force Majeure.</w:t>
      </w:r>
    </w:p>
    <w:p>
      <w:pPr>
        <w:spacing w:after="60"/>
      </w:pPr>
      <w:r>
        <w:rPr>
          <w:rFonts w:ascii="Open Sans" w:hAnsi="Open Sans"/>
          <w:b/>
          <w:i w:val="0"/>
          <w:color w:val="006DB6"/>
          <w:sz w:val="20"/>
        </w:rPr>
        <w:t xml:space="preserve">    (a) </w:t>
      </w:r>
      <w:r>
        <w:rPr>
          <w:rFonts w:ascii="Open Sans" w:hAnsi="Open Sans"/>
          <w:b w:val="0"/>
          <w:i w:val="0"/>
          <w:color w:val="59595B"/>
          <w:sz w:val="20"/>
        </w:rPr>
        <w:t>Neither Party shall be liable for delays or failures in performance caused by events beyond its reasonable control, including natural disasters, acts of government, labor disputes, pandemics, cyberattacks on critical infrastructure, or failures of major third-party infrastructure services that are not attributable to the affected Party’s failure to implement reasonable redundancy (“Force Majeure Event”).</w:t>
      </w:r>
    </w:p>
    <w:p>
      <w:pPr>
        <w:spacing w:after="60"/>
      </w:pPr>
      <w:r>
        <w:rPr>
          <w:rFonts w:ascii="Open Sans" w:hAnsi="Open Sans"/>
          <w:b/>
          <w:i w:val="0"/>
          <w:color w:val="006DB6"/>
          <w:sz w:val="20"/>
        </w:rPr>
        <w:t xml:space="preserve">    (b) </w:t>
      </w:r>
      <w:r>
        <w:rPr>
          <w:rFonts w:ascii="Open Sans" w:hAnsi="Open Sans"/>
          <w:b w:val="0"/>
          <w:i w:val="0"/>
          <w:color w:val="59595B"/>
          <w:sz w:val="20"/>
        </w:rPr>
        <w:t>The affected Party shall notify the other Party in writing within five (5) business days of becoming aware of a Force Majeure Event and shall use commercially reasonable efforts to mitigate the impact and resume performance.</w:t>
      </w:r>
    </w:p>
    <w:p>
      <w:pPr>
        <w:spacing w:after="60"/>
      </w:pPr>
      <w:r>
        <w:rPr>
          <w:rFonts w:ascii="Open Sans" w:hAnsi="Open Sans"/>
          <w:b/>
          <w:i w:val="0"/>
          <w:color w:val="006DB6"/>
          <w:sz w:val="20"/>
        </w:rPr>
        <w:t xml:space="preserve">    (c) </w:t>
      </w:r>
      <w:r>
        <w:rPr>
          <w:rFonts w:ascii="Open Sans" w:hAnsi="Open Sans"/>
          <w:b w:val="0"/>
          <w:i w:val="0"/>
          <w:color w:val="59595B"/>
          <w:sz w:val="20"/>
        </w:rPr>
        <w:t>Payment obligations are not excused by a Force Majeure Event.</w:t>
      </w:r>
    </w:p>
    <w:p>
      <w:pPr>
        <w:spacing w:after="60"/>
      </w:pPr>
      <w:r>
        <w:rPr>
          <w:rFonts w:ascii="Open Sans" w:hAnsi="Open Sans"/>
          <w:b/>
          <w:i w:val="0"/>
          <w:color w:val="006DB6"/>
          <w:sz w:val="20"/>
        </w:rPr>
        <w:t xml:space="preserve">    (d) </w:t>
      </w:r>
      <w:r>
        <w:rPr>
          <w:rFonts w:ascii="Open Sans" w:hAnsi="Open Sans"/>
          <w:b w:val="0"/>
          <w:i w:val="0"/>
          <w:color w:val="59595B"/>
          <w:sz w:val="20"/>
        </w:rPr>
        <w:t>If a Force Majeure Event prevents performance of a material portion of the services for more than ninety (90) consecutive days, either Party may terminate the affected Schedule, SOW, or this Agreement upon fifteen (15) days written notice without liability for early termination fees, and Client shall pay only for services actually rendered through the date of termination.</w:t>
      </w:r>
    </w:p>
    <w:p>
      <w:pPr>
        <w:spacing w:after="60"/>
      </w:pPr>
      <w:r>
        <w:rPr>
          <w:rFonts w:ascii="Open Sans" w:hAnsi="Open Sans"/>
          <w:b/>
          <w:i w:val="0"/>
          <w:color w:val="006DB6"/>
          <w:sz w:val="20"/>
        </w:rPr>
        <w:t xml:space="preserve">9.07. </w:t>
      </w:r>
      <w:r>
        <w:rPr>
          <w:rFonts w:ascii="Open Sans" w:hAnsi="Open Sans"/>
          <w:b w:val="0"/>
          <w:i w:val="0"/>
          <w:color w:val="59595B"/>
          <w:sz w:val="20"/>
        </w:rPr>
        <w:t>Notices. All notices shall be in writing and delivered by email with confirmation, certified mail, or nationally recognized overnight courier.</w:t>
      </w:r>
    </w:p>
    <w:p>
      <w:pPr>
        <w:spacing w:after="60"/>
      </w:pPr>
      <w:r>
        <w:rPr>
          <w:rFonts w:ascii="Open Sans" w:hAnsi="Open Sans"/>
          <w:b/>
          <w:i w:val="0"/>
          <w:color w:val="006DB6"/>
          <w:sz w:val="20"/>
        </w:rPr>
        <w:t xml:space="preserve">9.08. </w:t>
      </w:r>
      <w:r>
        <w:rPr>
          <w:rFonts w:ascii="Open Sans" w:hAnsi="Open Sans"/>
          <w:b w:val="0"/>
          <w:i w:val="0"/>
          <w:color w:val="59595B"/>
          <w:sz w:val="20"/>
        </w:rPr>
        <w:t>Governing Law. This Agreement shall be governed by the laws of the State of California.</w:t>
      </w:r>
    </w:p>
    <w:p>
      <w:pPr>
        <w:spacing w:after="60"/>
      </w:pPr>
      <w:r>
        <w:rPr>
          <w:rFonts w:ascii="Open Sans" w:hAnsi="Open Sans"/>
          <w:b/>
          <w:i w:val="0"/>
          <w:color w:val="006DB6"/>
          <w:sz w:val="20"/>
        </w:rPr>
        <w:t xml:space="preserve">9.09. </w:t>
      </w:r>
      <w:r>
        <w:rPr>
          <w:rFonts w:ascii="Open Sans" w:hAnsi="Open Sans"/>
          <w:b w:val="0"/>
          <w:i w:val="0"/>
          <w:color w:val="59595B"/>
          <w:sz w:val="20"/>
        </w:rPr>
        <w:t>Personnel Transition Fee. The Parties acknowledge that each invests significant resources in recruiting, training, and retaining skilled personnel. If either Party hires (whether as an employee or independent contractor) any individual who was an employee of the other Party and who was directly involved in performing or receiving services under this Agreement, and such hiring occurs during the term of this Agreement or within twelve (12) months following termination, the hiring Party shall pay the other Party a personnel transition fee equal to 25% of the hired individual’s first-year annual compensation (base salary or annualized contractor fees). This fee represents a reasonable estimate of the non-hiring Party’s recruiting and training costs and is not intended as a restraint on trade or employment. This Section does not restrict any individual’s right to seek or obtain employment, and shall not apply to individuals who: (a) respond to general public job postings or advertisements not specifically targeted at the other Party’s employees; or (b) are referred by a third-party recruiting firm without the hiring Party’s direction to target the other Party’s employees.</w:t>
      </w:r>
    </w:p>
    <w:p>
      <w:pPr>
        <w:spacing w:after="60"/>
      </w:pPr>
      <w:r>
        <w:rPr>
          <w:rFonts w:ascii="Open Sans" w:hAnsi="Open Sans"/>
          <w:b/>
          <w:i w:val="0"/>
          <w:color w:val="006DB6"/>
          <w:sz w:val="20"/>
        </w:rPr>
        <w:t xml:space="preserve">9.10. </w:t>
      </w:r>
      <w:r>
        <w:rPr>
          <w:rFonts w:ascii="Open Sans" w:hAnsi="Open Sans"/>
          <w:b w:val="0"/>
          <w:i w:val="0"/>
          <w:color w:val="59595B"/>
          <w:sz w:val="20"/>
        </w:rPr>
        <w:t>Counterparts. This Agreement may be executed in counterparts, each of which shall be deemed an original.</w:t>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SECTION 10 — DATA PROTECTION</w:t>
            </w:r>
          </w:p>
        </w:tc>
      </w:tr>
    </w:tbl>
    <w:p>
      <w:pPr>
        <w:spacing w:after="60"/>
      </w:pPr>
      <w:r>
        <w:rPr>
          <w:rFonts w:ascii="Open Sans" w:hAnsi="Open Sans"/>
          <w:b/>
          <w:i w:val="0"/>
          <w:color w:val="006DB6"/>
          <w:sz w:val="20"/>
        </w:rPr>
        <w:t xml:space="preserve">10.01. </w:t>
      </w:r>
      <w:r>
        <w:rPr>
          <w:rFonts w:ascii="Open Sans" w:hAnsi="Open Sans"/>
          <w:b w:val="0"/>
          <w:i w:val="0"/>
          <w:color w:val="59595B"/>
          <w:sz w:val="20"/>
        </w:rPr>
        <w:t>CCPA/CPRA Compliance. To the extent Technijian processes, stores, or has access to personal information (as defined under the California Consumer Privacy Act, as amended by the California Privacy Rights Act, Cal. Civ. Code § 1798.100 et seq., collectively “CCPA”) on behalf of Client, Technijian acts as a “service provider” as defined under Cal. Civ. Code § 1798.140(ag) and shall:</w:t>
      </w:r>
    </w:p>
    <w:p>
      <w:pPr>
        <w:spacing w:after="60"/>
      </w:pPr>
      <w:r>
        <w:rPr>
          <w:rFonts w:ascii="Open Sans" w:hAnsi="Open Sans"/>
          <w:b/>
          <w:i w:val="0"/>
          <w:color w:val="006DB6"/>
          <w:sz w:val="20"/>
        </w:rPr>
        <w:t xml:space="preserve">    (a) </w:t>
      </w:r>
      <w:r>
        <w:rPr>
          <w:rFonts w:ascii="Open Sans" w:hAnsi="Open Sans"/>
          <w:b w:val="0"/>
          <w:i w:val="0"/>
          <w:color w:val="59595B"/>
          <w:sz w:val="20"/>
        </w:rPr>
        <w:t>Process such personal information only as necessary to perform the services and in accordance with Client’s documented instructions and this Agreement;</w:t>
      </w:r>
    </w:p>
    <w:p>
      <w:pPr>
        <w:spacing w:after="60"/>
      </w:pPr>
      <w:r>
        <w:rPr>
          <w:rFonts w:ascii="Open Sans" w:hAnsi="Open Sans"/>
          <w:b/>
          <w:i w:val="0"/>
          <w:color w:val="006DB6"/>
          <w:sz w:val="20"/>
        </w:rPr>
        <w:t xml:space="preserve">    (b) </w:t>
      </w:r>
      <w:r>
        <w:rPr>
          <w:rFonts w:ascii="Open Sans" w:hAnsi="Open Sans"/>
          <w:b w:val="0"/>
          <w:i w:val="0"/>
          <w:color w:val="59595B"/>
          <w:sz w:val="20"/>
        </w:rPr>
        <w:t>Not sell, share, retain, use, or disclose personal information for any purpose other than performing the services, including not using personal information for targeted advertising or cross-context behavioral advertising;</w:t>
      </w:r>
    </w:p>
    <w:p>
      <w:pPr>
        <w:spacing w:after="60"/>
      </w:pPr>
      <w:r>
        <w:rPr>
          <w:rFonts w:ascii="Open Sans" w:hAnsi="Open Sans"/>
          <w:b/>
          <w:i w:val="0"/>
          <w:color w:val="006DB6"/>
          <w:sz w:val="20"/>
        </w:rPr>
        <w:t xml:space="preserve">    (c) </w:t>
      </w:r>
      <w:r>
        <w:rPr>
          <w:rFonts w:ascii="Open Sans" w:hAnsi="Open Sans"/>
          <w:b w:val="0"/>
          <w:i w:val="0"/>
          <w:color w:val="59595B"/>
          <w:sz w:val="20"/>
        </w:rPr>
        <w:t>Not combine personal information received from Client with personal information received from other sources or collected from Technijian’s own interactions with individuals, except as expressly permitted by the CCPA to perform the services;</w:t>
      </w:r>
    </w:p>
    <w:p>
      <w:pPr>
        <w:spacing w:after="60"/>
      </w:pPr>
      <w:r>
        <w:rPr>
          <w:rFonts w:ascii="Open Sans" w:hAnsi="Open Sans"/>
          <w:b/>
          <w:i w:val="0"/>
          <w:color w:val="006DB6"/>
          <w:sz w:val="20"/>
        </w:rPr>
        <w:t xml:space="preserve">    (d) </w:t>
      </w:r>
      <w:r>
        <w:rPr>
          <w:rFonts w:ascii="Open Sans" w:hAnsi="Open Sans"/>
          <w:b w:val="0"/>
          <w:i w:val="0"/>
          <w:color w:val="59595B"/>
          <w:sz w:val="20"/>
        </w:rPr>
        <w:t>Implement reasonable security measures appropriate to the nature of the personal information, consistent with the requirements of Section 10.03;</w:t>
      </w:r>
    </w:p>
    <w:p>
      <w:pPr>
        <w:spacing w:after="60"/>
      </w:pPr>
      <w:r>
        <w:rPr>
          <w:rFonts w:ascii="Open Sans" w:hAnsi="Open Sans"/>
          <w:b/>
          <w:i w:val="0"/>
          <w:color w:val="006DB6"/>
          <w:sz w:val="20"/>
        </w:rPr>
        <w:t xml:space="preserve">    (e) </w:t>
      </w:r>
      <w:r>
        <w:rPr>
          <w:rFonts w:ascii="Open Sans" w:hAnsi="Open Sans"/>
          <w:b w:val="0"/>
          <w:i w:val="0"/>
          <w:color w:val="59595B"/>
          <w:sz w:val="20"/>
        </w:rPr>
        <w:t>Cooperate with Client in responding to verifiable consumer rights requests under the CCPA (including access, deletion, correction, and opt-out requests) within ten (10) business days of Client’s request;</w:t>
      </w:r>
    </w:p>
    <w:p>
      <w:pPr>
        <w:spacing w:after="60"/>
      </w:pPr>
      <w:r>
        <w:rPr>
          <w:rFonts w:ascii="Open Sans" w:hAnsi="Open Sans"/>
          <w:b/>
          <w:i w:val="0"/>
          <w:color w:val="006DB6"/>
          <w:sz w:val="20"/>
        </w:rPr>
        <w:t xml:space="preserve">    (f) </w:t>
      </w:r>
      <w:r>
        <w:rPr>
          <w:rFonts w:ascii="Open Sans" w:hAnsi="Open Sans"/>
          <w:b w:val="0"/>
          <w:i w:val="0"/>
          <w:color w:val="59595B"/>
          <w:sz w:val="20"/>
        </w:rPr>
        <w:t>Notify Client within five (5) business days if Technijian determines that it can no longer meet its obligations as a service provider under the CCPA;</w:t>
      </w:r>
    </w:p>
    <w:p>
      <w:pPr>
        <w:spacing w:after="60"/>
      </w:pPr>
      <w:r>
        <w:rPr>
          <w:rFonts w:ascii="Open Sans" w:hAnsi="Open Sans"/>
          <w:b/>
          <w:i w:val="0"/>
          <w:color w:val="006DB6"/>
          <w:sz w:val="20"/>
        </w:rPr>
        <w:t xml:space="preserve">    (g) </w:t>
      </w:r>
      <w:r>
        <w:rPr>
          <w:rFonts w:ascii="Open Sans" w:hAnsi="Open Sans"/>
          <w:b w:val="0"/>
          <w:i w:val="0"/>
          <w:color w:val="59595B"/>
          <w:sz w:val="20"/>
        </w:rPr>
        <w:t>Ensure that all subcontractors who process personal information on behalf of Client are bound by written agreements containing data protection obligations at least as protective as those in this Section 10, and Technijian shall remain liable for the acts and omissions of its subcontractors with respect to personal information;</w:t>
      </w:r>
    </w:p>
    <w:p>
      <w:pPr>
        <w:spacing w:after="60"/>
      </w:pPr>
      <w:r>
        <w:rPr>
          <w:rFonts w:ascii="Open Sans" w:hAnsi="Open Sans"/>
          <w:b/>
          <w:i w:val="0"/>
          <w:color w:val="006DB6"/>
          <w:sz w:val="20"/>
        </w:rPr>
        <w:t xml:space="preserve">    (h) </w:t>
      </w:r>
      <w:r>
        <w:rPr>
          <w:rFonts w:ascii="Open Sans" w:hAnsi="Open Sans"/>
          <w:b w:val="0"/>
          <w:i w:val="0"/>
          <w:color w:val="59595B"/>
          <w:sz w:val="20"/>
        </w:rPr>
        <w:t>Permit Client, upon thirty (30) days written notice and no more than once per twelve (12) month period, to audit or inspect Technijian’s data processing practices to verify compliance with this Section 10, or, at Technijian’s option, provide Client with a summary of a recent independent third-party audit (such as SOC 2 Type II) covering the relevant controls; and</w:t>
      </w:r>
    </w:p>
    <w:p>
      <w:pPr>
        <w:spacing w:after="60"/>
      </w:pPr>
      <w:r>
        <w:rPr>
          <w:rFonts w:ascii="Open Sans" w:hAnsi="Open Sans"/>
          <w:b/>
          <w:i w:val="0"/>
          <w:color w:val="006DB6"/>
          <w:sz w:val="20"/>
        </w:rPr>
        <w:t xml:space="preserve">    (i) </w:t>
      </w:r>
      <w:r>
        <w:rPr>
          <w:rFonts w:ascii="Open Sans" w:hAnsi="Open Sans"/>
          <w:b w:val="0"/>
          <w:i w:val="0"/>
          <w:color w:val="59595B"/>
          <w:sz w:val="20"/>
        </w:rPr>
        <w:t>Certify that Technijian understands the restrictions in this Section 10 and will comply with them.</w:t>
      </w:r>
    </w:p>
    <w:p>
      <w:pPr>
        <w:spacing w:after="60"/>
      </w:pPr>
      <w:r>
        <w:rPr>
          <w:rFonts w:ascii="Open Sans" w:hAnsi="Open Sans"/>
          <w:b/>
          <w:i w:val="0"/>
          <w:color w:val="006DB6"/>
          <w:sz w:val="20"/>
        </w:rPr>
        <w:t xml:space="preserve">10.02. </w:t>
      </w:r>
      <w:r>
        <w:rPr>
          <w:rFonts w:ascii="Open Sans" w:hAnsi="Open Sans"/>
          <w:b w:val="0"/>
          <w:i w:val="0"/>
          <w:color w:val="59595B"/>
          <w:sz w:val="20"/>
        </w:rPr>
        <w:t>Security Incident Notification. If Technijian becomes aware of a breach of security leading to the accidental or unlawful destruction, loss, alteration, unauthorized disclosure of, or access to Client Data (“Security Incident”), Technijian shall: (a) notify Client in writing without unreasonable delay and in no event later than forty-eight (48) hours after becoming aware of the Security Incident; (b) provide Client with sufficient information to enable Client to comply with its obligations under California Civil Code § 1798.82 (data breach notification), including the categories and approximate number of records affected, the nature of the incident, and the measures taken or proposed to address it; (c) cooperate with Client’s investigation of the Security Incident; and (d) take reasonable steps to contain and remediate the Security Incident.</w:t>
      </w:r>
    </w:p>
    <w:p>
      <w:pPr>
        <w:spacing w:after="60"/>
      </w:pPr>
      <w:r>
        <w:rPr>
          <w:rFonts w:ascii="Open Sans" w:hAnsi="Open Sans"/>
          <w:b/>
          <w:i w:val="0"/>
          <w:color w:val="006DB6"/>
          <w:sz w:val="20"/>
        </w:rPr>
        <w:t xml:space="preserve">10.03. </w:t>
      </w:r>
      <w:r>
        <w:rPr>
          <w:rFonts w:ascii="Open Sans" w:hAnsi="Open Sans"/>
          <w:b w:val="0"/>
          <w:i w:val="0"/>
          <w:color w:val="59595B"/>
          <w:sz w:val="20"/>
        </w:rPr>
        <w:t>Data Security. Technijian shall implement and maintain administrative, technical, and physical safeguards designed to protect Client Data from unauthorized access, use, or disclosure, consistent with industry standards for managed IT service providers. Such safeguards shall include, at a minimum: (a) encryption of Client Data in transit and at rest; (b) access controls limiting access to authorized personnel; (c) regular security assessments and vulnerability testing; and (d) employee security awareness training.</w:t>
      </w:r>
    </w:p>
    <w:p>
      <w:pPr>
        <w:spacing w:after="60"/>
      </w:pPr>
      <w:r>
        <w:rPr>
          <w:rFonts w:ascii="Open Sans" w:hAnsi="Open Sans"/>
          <w:b/>
          <w:i w:val="0"/>
          <w:color w:val="006DB6"/>
          <w:sz w:val="20"/>
        </w:rPr>
        <w:t xml:space="preserve">10.04. </w:t>
      </w:r>
      <w:r>
        <w:rPr>
          <w:rFonts w:ascii="Open Sans" w:hAnsi="Open Sans"/>
          <w:b w:val="0"/>
          <w:i w:val="0"/>
          <w:color w:val="59595B"/>
          <w:sz w:val="20"/>
        </w:rPr>
        <w:t>Regulatory Compliance. If Client is subject to HIPAA, PCI DSS, GDPR, or other industry-specific data protection requirements, the Parties shall execute a separate addendum addressing the additional obligations applicable to the regulated data.</w:t>
      </w:r>
    </w:p>
    <w:p>
      <w:pPr>
        <w:spacing w:after="60"/>
      </w:pPr>
      <w:r>
        <w:rPr>
          <w:rFonts w:ascii="Open Sans" w:hAnsi="Open Sans"/>
          <w:b/>
          <w:i w:val="0"/>
          <w:color w:val="006DB6"/>
          <w:sz w:val="20"/>
        </w:rPr>
        <w:t xml:space="preserve">10.05. </w:t>
      </w:r>
      <w:r>
        <w:rPr>
          <w:rFonts w:ascii="Open Sans" w:hAnsi="Open Sans"/>
          <w:b w:val="0"/>
          <w:i w:val="0"/>
          <w:color w:val="59595B"/>
          <w:sz w:val="20"/>
        </w:rPr>
        <w:t>Data Return and Deletion. Upon termination of this Agreement or upon Client’s written request, Technijian shall securely delete or return all Client Data in its possession within thirty (30) days, using methods consistent with NIST SP 800-88 or equivalent standards, and shall certify such deletion in writing upon request.</w:t>
      </w:r>
    </w:p>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SIGNATURES</w:t>
            </w:r>
          </w:p>
        </w:tc>
      </w:tr>
    </w:tbl>
    <w:p>
      <w:pPr>
        <w:spacing w:after="160"/>
      </w:pPr>
    </w:p>
    <w:p>
      <w:r>
        <w:rPr>
          <w:rFonts w:ascii="Open Sans" w:hAnsi="Open Sans"/>
          <w:b/>
          <w:i w:val="0"/>
          <w:color w:val="1A1A2E"/>
          <w:sz w:val="22"/>
        </w:rPr>
        <w:t>TECHNIJIAN, INC.</w:t>
      </w:r>
    </w:p>
    <w:p>
      <w:pPr>
        <w:spacing w:after="40"/>
      </w:pPr>
      <w:r>
        <w:rPr>
          <w:rFonts w:ascii="Open Sans" w:hAnsi="Open Sans"/>
          <w:b w:val="0"/>
          <w:i w:val="0"/>
          <w:color w:val="59595B"/>
          <w:sz w:val="20"/>
        </w:rPr>
        <w:t>By: ___________________________________</w:t>
      </w:r>
    </w:p>
    <w:p>
      <w:pPr>
        <w:spacing w:after="40"/>
      </w:pPr>
      <w:r>
        <w:rPr>
          <w:rFonts w:ascii="Open Sans" w:hAnsi="Open Sans"/>
          <w:b w:val="0"/>
          <w:i w:val="0"/>
          <w:color w:val="59595B"/>
          <w:sz w:val="20"/>
        </w:rPr>
        <w:t>Name: _________________________________</w:t>
      </w:r>
    </w:p>
    <w:p>
      <w:pPr>
        <w:spacing w:after="40"/>
      </w:pPr>
      <w:r>
        <w:rPr>
          <w:rFonts w:ascii="Open Sans" w:hAnsi="Open Sans"/>
          <w:b w:val="0"/>
          <w:i w:val="0"/>
          <w:color w:val="59595B"/>
          <w:sz w:val="20"/>
        </w:rPr>
        <w:t>Title: _________________________________</w:t>
      </w:r>
    </w:p>
    <w:p>
      <w:pPr>
        <w:spacing w:after="40"/>
      </w:pPr>
      <w:r>
        <w:rPr>
          <w:rFonts w:ascii="Open Sans" w:hAnsi="Open Sans"/>
          <w:b w:val="0"/>
          <w:i w:val="0"/>
          <w:color w:val="59595B"/>
          <w:sz w:val="20"/>
        </w:rPr>
        <w:t>Date: _________________________________</w:t>
      </w:r>
    </w:p>
    <w:p>
      <w:pPr>
        <w:spacing w:after="240"/>
      </w:pPr>
    </w:p>
    <w:p>
      <w:r>
        <w:rPr>
          <w:rFonts w:ascii="Open Sans" w:hAnsi="Open Sans"/>
          <w:b/>
          <w:i w:val="0"/>
          <w:color w:val="1A1A2E"/>
          <w:sz w:val="22"/>
        </w:rPr>
        <w:t>OAKTREE LAW</w:t>
      </w:r>
    </w:p>
    <w:p>
      <w:pPr>
        <w:spacing w:after="40"/>
      </w:pPr>
      <w:r>
        <w:rPr>
          <w:rFonts w:ascii="Open Sans" w:hAnsi="Open Sans"/>
          <w:b w:val="0"/>
          <w:i w:val="0"/>
          <w:color w:val="59595B"/>
          <w:sz w:val="20"/>
        </w:rPr>
        <w:t>By: ___________________________________</w:t>
      </w:r>
    </w:p>
    <w:p>
      <w:pPr>
        <w:spacing w:after="40"/>
      </w:pPr>
      <w:r>
        <w:rPr>
          <w:rFonts w:ascii="Open Sans" w:hAnsi="Open Sans"/>
          <w:b w:val="0"/>
          <w:i w:val="0"/>
          <w:color w:val="59595B"/>
          <w:sz w:val="20"/>
        </w:rPr>
        <w:t>Name: Ed Pits</w:t>
      </w:r>
    </w:p>
    <w:p>
      <w:pPr>
        <w:spacing w:after="40"/>
      </w:pPr>
      <w:r>
        <w:rPr>
          <w:rFonts w:ascii="Open Sans" w:hAnsi="Open Sans"/>
          <w:b w:val="0"/>
          <w:i w:val="0"/>
          <w:color w:val="59595B"/>
          <w:sz w:val="20"/>
        </w:rPr>
        <w:t>Title: _________________________________</w:t>
      </w:r>
    </w:p>
    <w:p>
      <w:pPr>
        <w:spacing w:after="40"/>
      </w:pPr>
      <w:r>
        <w:rPr>
          <w:rFonts w:ascii="Open Sans" w:hAnsi="Open Sans"/>
          <w:b w:val="0"/>
          <w:i w:val="0"/>
          <w:color w:val="59595B"/>
          <w:sz w:val="20"/>
        </w:rPr>
        <w:t>Date: _________________________________</w:t>
      </w:r>
    </w:p>
    <w:p>
      <w:pPr>
        <w:spacing w:after="80"/>
      </w:pPr>
    </w:p>
    <w:p>
      <w:pPr>
        <w:spacing w:after="120"/>
      </w:pPr>
      <w:r>
        <w:rPr>
          <w:rFonts w:ascii="Open Sans" w:hAnsi="Open Sans"/>
          <w:b w:val="0"/>
          <w:i w:val="0"/>
          <w:color w:val="59595B"/>
          <w:sz w:val="20"/>
        </w:rPr>
        <w:t>Schedules:</w:t>
      </w:r>
    </w:p>
    <w:p>
      <w:pPr>
        <w:pStyle w:val="ListBullet"/>
        <w:spacing w:after="40"/>
      </w:pPr>
      <w:r>
        <w:rPr>
          <w:rFonts w:ascii="Open Sans" w:hAnsi="Open Sans"/>
          <w:b w:val="0"/>
          <w:i w:val="0"/>
          <w:color w:val="59595B"/>
          <w:sz w:val="20"/>
        </w:rPr>
        <w:t>Schedule A — Monthly Managed Services</w:t>
      </w:r>
    </w:p>
    <w:p>
      <w:pPr>
        <w:pStyle w:val="ListBullet"/>
        <w:spacing w:after="40"/>
      </w:pPr>
      <w:r>
        <w:rPr>
          <w:rFonts w:ascii="Open Sans" w:hAnsi="Open Sans"/>
          <w:b w:val="0"/>
          <w:i w:val="0"/>
          <w:color w:val="59595B"/>
          <w:sz w:val="20"/>
        </w:rPr>
        <w:t>Schedule B — Subscription and License Services</w:t>
      </w:r>
    </w:p>
    <w:p>
      <w:pPr>
        <w:pStyle w:val="ListBullet"/>
        <w:spacing w:after="40"/>
      </w:pPr>
      <w:r>
        <w:rPr>
          <w:rFonts w:ascii="Open Sans" w:hAnsi="Open Sans"/>
          <w:b w:val="0"/>
          <w:i w:val="0"/>
          <w:color w:val="59595B"/>
          <w:sz w:val="20"/>
        </w:rPr>
        <w:t>Schedule C — Rate Card</w:t>
      </w:r>
    </w:p>
    <w:p>
      <w:pPr>
        <w:spacing w:after="16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006DB6" w:val="clear"/>
          </w:tcPr>
          <w:p>
            <w:pPr>
              <w:spacing w:before="0" w:after="0" w:line="40"/>
            </w:pPr>
            <w:r/>
          </w:p>
        </w:tc>
      </w:tr>
    </w:tbl>
    <w:p>
      <w:pPr>
        <w:spacing w:before="120"/>
        <w:jc w:val="center"/>
      </w:pPr>
      <w:r>
        <w:rPr>
          <w:rFonts w:ascii="Open Sans" w:hAnsi="Open Sans"/>
          <w:b w:val="0"/>
          <w:i w:val="0"/>
          <w:color w:val="59595B"/>
          <w:sz w:val="16"/>
        </w:rPr>
        <w:t>Technijian, Inc.  |  18 Technology Dr., Ste 141, Irvine, CA 92618  |  949.379.8499  |  technijian.com</w:t>
      </w:r>
    </w:p>
    <w:sectPr w:rsidR="00FC693F" w:rsidRPr="0006063C" w:rsidSect="00034616">
      <w:pgSz w:w="12240" w:h="15840"/>
      <w:pgMar w:top="144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Open Sans" w:hAnsi="Open Sans"/>
      <w:color w:val="59595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