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645920" cy="3429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1645920" cy="342900"/>
                    </a:xfrm>
                    <a:prstGeom prst="rect"/>
                  </pic:spPr>
                </pic:pic>
              </a:graphicData>
            </a:graphic>
          </wp:inline>
        </w:drawing>
      </w:r>
    </w:p>
    <w:tbl>
      <w:tblPr>
        <w:tblLook w:firstColumn="1" w:firstRow="1" w:lastColumn="0" w:lastRow="0" w:noHBand="0" w:noVBand="1" w:val="04A0"/>
        <w:tblBorders>
          <w:top w:val="none" w:sz="0" w:space="0" w:color="auto"/>
          <w:left w:val="none" w:sz="0" w:space="0" w:color="auto"/>
          <w:bottom w:val="none" w:sz="0" w:space="0" w:color="auto"/>
          <w:right w:val="none" w:sz="0" w:space="0" w:color="auto"/>
        </w:tblBorders>
        <w:tblLayout w:type="fixed"/>
        <w:tblW w:w="10224" w:type="dxa"/>
      </w:tblPr>
      <w:tblGrid>
        <w:gridCol w:w="10224"/>
      </w:tblGrid>
      <w:tr>
        <w:trPr>
          <w:cantSplit/>
        </w:trPr>
        <w:tc>
          <w:tcPr>
            <w:shd w:fill="1A1A2E" w:val="clear"/>
            <w:tcW w:w="10224" w:type="dxa"/>
          </w:tcPr>
          <w:p>
            <w:pPr>
              <w:spacing w:before="400" w:after="120"/>
            </w:pPr>
            <w:r>
              <w:rPr>
                <w:rFonts w:ascii="Open Sans" w:hAnsi="Open Sans"/>
                <w:b/>
                <w:color w:val="FFFFFF"/>
                <w:sz w:val="48"/>
              </w:rPr>
              <w:t>Equipment Quote — Additional Items</w:t>
            </w:r>
          </w:p>
          <w:p>
            <w:pPr>
              <w:spacing w:after="400"/>
            </w:pPr>
            <w:r>
              <w:rPr>
                <w:rFonts w:ascii="Open Sans" w:hAnsi="Open Sans"/>
                <w:b w:val="0"/>
                <w:color w:val="CCCCCC"/>
                <w:sz w:val="22"/>
              </w:rPr>
              <w:t>Prepared for Oaktree Law  |  April 16, 2026</w:t>
            </w:r>
          </w:p>
        </w:tc>
      </w:tr>
    </w:tbl>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3168"/>
        <w:gridCol w:w="7056"/>
      </w:tblGrid>
      <w:tr>
        <w:trPr>
          <w:cantSplit/>
        </w:trPr>
        <w:tc>
          <w:tcPr>
            <w:shd w:fill="F8F9FA" w:val="clear"/>
            <w:tcW w:w="3168" w:type="dxa"/>
          </w:tcPr>
          <w:p>
            <w:pPr>
              <w:spacing w:before="60" w:after="60"/>
            </w:pPr>
            <w:r>
              <w:rPr>
                <w:rFonts w:ascii="Open Sans" w:hAnsi="Open Sans"/>
                <w:b/>
                <w:color w:val="1A1A2E"/>
                <w:sz w:val="20"/>
              </w:rPr>
              <w:t>Quote Number</w:t>
            </w:r>
          </w:p>
        </w:tc>
        <w:tc>
          <w:tcPr>
            <w:tcW w:w="7056" w:type="dxa"/>
          </w:tcPr>
          <w:p>
            <w:pPr>
              <w:spacing w:before="60" w:after="60"/>
            </w:pPr>
            <w:r>
              <w:rPr>
                <w:rFonts w:ascii="Open Sans" w:hAnsi="Open Sans"/>
                <w:b w:val="0"/>
                <w:color w:val="1A1A2E"/>
                <w:sz w:val="20"/>
              </w:rPr>
              <w:t>TQ-OKL-2026-ADDL</w:t>
            </w:r>
          </w:p>
        </w:tc>
      </w:tr>
      <w:tr>
        <w:trPr>
          <w:cantSplit/>
        </w:trPr>
        <w:tc>
          <w:tcPr>
            <w:shd w:fill="F8F9FA" w:val="clear"/>
            <w:tcW w:w="3168" w:type="dxa"/>
          </w:tcPr>
          <w:p>
            <w:pPr>
              <w:spacing w:before="60" w:after="60"/>
            </w:pPr>
            <w:r>
              <w:rPr>
                <w:rFonts w:ascii="Open Sans" w:hAnsi="Open Sans"/>
                <w:b/>
                <w:color w:val="1A1A2E"/>
                <w:sz w:val="20"/>
              </w:rPr>
              <w:t>Prepared For</w:t>
            </w:r>
          </w:p>
        </w:tc>
        <w:tc>
          <w:tcPr>
            <w:tcW w:w="7056" w:type="dxa"/>
          </w:tcPr>
          <w:p>
            <w:pPr>
              <w:spacing w:before="60" w:after="60"/>
            </w:pPr>
            <w:r>
              <w:rPr>
                <w:rFonts w:ascii="Open Sans" w:hAnsi="Open Sans"/>
                <w:b w:val="0"/>
                <w:color w:val="1A1A2E"/>
                <w:sz w:val="20"/>
              </w:rPr>
              <w:t>Oaktree Law</w:t>
            </w:r>
          </w:p>
        </w:tc>
      </w:tr>
      <w:tr>
        <w:trPr>
          <w:cantSplit/>
        </w:trPr>
        <w:tc>
          <w:tcPr>
            <w:shd w:fill="F8F9FA" w:val="clear"/>
            <w:tcW w:w="3168" w:type="dxa"/>
          </w:tcPr>
          <w:p>
            <w:pPr>
              <w:spacing w:before="60" w:after="60"/>
            </w:pPr>
            <w:r>
              <w:rPr>
                <w:rFonts w:ascii="Open Sans" w:hAnsi="Open Sans"/>
                <w:b/>
                <w:color w:val="1A1A2E"/>
                <w:sz w:val="20"/>
              </w:rPr>
              <w:t>Attention</w:t>
            </w:r>
          </w:p>
        </w:tc>
        <w:tc>
          <w:tcPr>
            <w:tcW w:w="7056" w:type="dxa"/>
          </w:tcPr>
          <w:p>
            <w:pPr>
              <w:spacing w:before="60" w:after="60"/>
            </w:pPr>
            <w:r>
              <w:rPr>
                <w:rFonts w:ascii="Open Sans" w:hAnsi="Open Sans"/>
                <w:b w:val="0"/>
                <w:color w:val="1A1A2E"/>
                <w:sz w:val="20"/>
              </w:rPr>
              <w:t>Ed Pits</w:t>
            </w:r>
          </w:p>
        </w:tc>
      </w:tr>
      <w:tr>
        <w:trPr>
          <w:cantSplit/>
        </w:trPr>
        <w:tc>
          <w:tcPr>
            <w:shd w:fill="F8F9FA" w:val="clear"/>
            <w:tcW w:w="3168" w:type="dxa"/>
          </w:tcPr>
          <w:p>
            <w:pPr>
              <w:spacing w:before="60" w:after="60"/>
            </w:pPr>
            <w:r>
              <w:rPr>
                <w:rFonts w:ascii="Open Sans" w:hAnsi="Open Sans"/>
                <w:b/>
                <w:color w:val="1A1A2E"/>
                <w:sz w:val="20"/>
              </w:rPr>
              <w:t>Prepared By</w:t>
            </w:r>
          </w:p>
        </w:tc>
        <w:tc>
          <w:tcPr>
            <w:tcW w:w="7056" w:type="dxa"/>
          </w:tcPr>
          <w:p>
            <w:pPr>
              <w:spacing w:before="60" w:after="60"/>
            </w:pPr>
            <w:r>
              <w:rPr>
                <w:rFonts w:ascii="Open Sans" w:hAnsi="Open Sans"/>
                <w:b w:val="0"/>
                <w:color w:val="1A1A2E"/>
                <w:sz w:val="20"/>
              </w:rPr>
              <w:t>Ravi Jain, CEO — Technijian, Inc.</w:t>
            </w:r>
          </w:p>
        </w:tc>
      </w:tr>
      <w:tr>
        <w:trPr>
          <w:cantSplit/>
        </w:trPr>
        <w:tc>
          <w:tcPr>
            <w:shd w:fill="F8F9FA" w:val="clear"/>
            <w:tcW w:w="3168" w:type="dxa"/>
          </w:tcPr>
          <w:p>
            <w:pPr>
              <w:spacing w:before="60" w:after="60"/>
            </w:pPr>
            <w:r>
              <w:rPr>
                <w:rFonts w:ascii="Open Sans" w:hAnsi="Open Sans"/>
                <w:b/>
                <w:color w:val="1A1A2E"/>
                <w:sz w:val="20"/>
              </w:rPr>
              <w:t>Date</w:t>
            </w:r>
          </w:p>
        </w:tc>
        <w:tc>
          <w:tcPr>
            <w:tcW w:w="7056" w:type="dxa"/>
          </w:tcPr>
          <w:p>
            <w:pPr>
              <w:spacing w:before="60" w:after="60"/>
            </w:pPr>
            <w:r>
              <w:rPr>
                <w:rFonts w:ascii="Open Sans" w:hAnsi="Open Sans"/>
                <w:b w:val="0"/>
                <w:color w:val="1A1A2E"/>
                <w:sz w:val="20"/>
              </w:rPr>
              <w:t>April 16, 2026</w:t>
            </w:r>
          </w:p>
        </w:tc>
      </w:tr>
      <w:tr>
        <w:trPr>
          <w:cantSplit/>
        </w:trPr>
        <w:tc>
          <w:tcPr>
            <w:shd w:fill="F8F9FA" w:val="clear"/>
            <w:tcW w:w="3168" w:type="dxa"/>
          </w:tcPr>
          <w:p>
            <w:pPr>
              <w:spacing w:before="60" w:after="60"/>
            </w:pPr>
            <w:r>
              <w:rPr>
                <w:rFonts w:ascii="Open Sans" w:hAnsi="Open Sans"/>
                <w:b/>
                <w:color w:val="1A1A2E"/>
                <w:sz w:val="20"/>
              </w:rPr>
              <w:t>Valid Through</w:t>
            </w:r>
          </w:p>
        </w:tc>
        <w:tc>
          <w:tcPr>
            <w:tcW w:w="7056" w:type="dxa"/>
          </w:tcPr>
          <w:p>
            <w:pPr>
              <w:spacing w:before="60" w:after="60"/>
            </w:pPr>
            <w:r>
              <w:rPr>
                <w:rFonts w:ascii="Open Sans" w:hAnsi="Open Sans"/>
                <w:b w:val="0"/>
                <w:color w:val="1A1A2E"/>
                <w:sz w:val="20"/>
              </w:rPr>
              <w:t>April 30, 2026</w:t>
            </w:r>
          </w:p>
        </w:tc>
      </w:tr>
      <w:tr>
        <w:trPr>
          <w:cantSplit/>
        </w:trPr>
        <w:tc>
          <w:tcPr>
            <w:shd w:fill="F8F9FA" w:val="clear"/>
            <w:tcW w:w="3168" w:type="dxa"/>
          </w:tcPr>
          <w:p>
            <w:pPr>
              <w:spacing w:before="60" w:after="60"/>
            </w:pPr>
            <w:r>
              <w:rPr>
                <w:rFonts w:ascii="Open Sans" w:hAnsi="Open Sans"/>
                <w:b/>
                <w:color w:val="1A1A2E"/>
                <w:sz w:val="20"/>
              </w:rPr>
              <w:t>Dell Reference</w:t>
            </w:r>
          </w:p>
        </w:tc>
        <w:tc>
          <w:tcPr>
            <w:tcW w:w="7056" w:type="dxa"/>
          </w:tcPr>
          <w:p>
            <w:pPr>
              <w:spacing w:before="60" w:after="60"/>
            </w:pPr>
            <w:r>
              <w:rPr>
                <w:rFonts w:ascii="Open Sans" w:hAnsi="Open Sans"/>
                <w:b w:val="0"/>
                <w:color w:val="1A1A2E"/>
                <w:sz w:val="20"/>
              </w:rPr>
              <w:t>Dell Quote #3000201473092.1</w:t>
            </w:r>
          </w:p>
        </w:tc>
      </w:tr>
    </w:tbl>
    <w:p/>
    <w:p>
      <w:pPr>
        <w:spacing w:before="240" w:after="120"/>
      </w:pPr>
      <w:r>
        <w:rPr>
          <w:rFonts w:ascii="Open Sans" w:hAnsi="Open Sans"/>
          <w:b/>
          <w:color w:val="006DB6"/>
          <w:sz w:val="28"/>
        </w:rPr>
        <w:t>Additional Items</w:t>
      </w:r>
    </w:p>
    <w:p>
      <w:pPr>
        <w:spacing w:after="120"/>
      </w:pPr>
      <w:r>
        <w:rPr>
          <w:rFonts w:ascii="Open Sans" w:hAnsi="Open Sans"/>
          <w:b w:val="0"/>
          <w:color w:val="1A1A2E"/>
          <w:sz w:val="20"/>
        </w:rPr>
        <w:t>The following items complement the server equipment quoted separately. The iDRAC9 Enterprise upgrade kits enable full remote management capabilities including virtual console, virtual media, and advanced monitoring — essential for remote server administration and reducing on-site support visits.</w:t>
      </w:r>
    </w:p>
    <w:p>
      <w:pPr>
        <w:spacing w:before="240" w:after="120"/>
      </w:pPr>
      <w:r>
        <w:rPr>
          <w:rFonts w:ascii="Open Sans" w:hAnsi="Open Sans"/>
          <w:b/>
          <w:color w:val="006DB6"/>
          <w:sz w:val="28"/>
        </w:rPr>
        <w:t>Item Details</w:t>
      </w:r>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3168"/>
        <w:gridCol w:w="7056"/>
      </w:tblGrid>
      <w:tr>
        <w:trPr>
          <w:cantSplit/>
        </w:trPr>
        <w:tc>
          <w:tcPr>
            <w:shd w:fill="F8F9FA" w:val="clear"/>
            <w:tcW w:w="3168" w:type="dxa"/>
          </w:tcPr>
          <w:p>
            <w:pPr>
              <w:spacing w:before="60" w:after="60"/>
            </w:pPr>
            <w:r>
              <w:rPr>
                <w:rFonts w:ascii="Open Sans" w:hAnsi="Open Sans"/>
                <w:b/>
                <w:color w:val="1A1A2E"/>
                <w:sz w:val="20"/>
              </w:rPr>
              <w:t>iDRAC9 Enterprise 15G Kit</w:t>
            </w:r>
          </w:p>
        </w:tc>
        <w:tc>
          <w:tcPr>
            <w:tcW w:w="7056" w:type="dxa"/>
          </w:tcPr>
          <w:p>
            <w:pPr>
              <w:spacing w:before="60" w:after="60"/>
            </w:pPr>
            <w:r>
              <w:rPr>
                <w:rFonts w:ascii="Open Sans" w:hAnsi="Open Sans"/>
                <w:b w:val="0"/>
                <w:color w:val="1A1A2E"/>
                <w:sz w:val="20"/>
              </w:rPr>
              <w:t>Customer-installable upgrade for PowerEdge R650; enables virtual console, virtual media, remote firmware updates, and advanced server monitoring via web interface</w:t>
            </w:r>
          </w:p>
        </w:tc>
      </w:tr>
      <w:tr>
        <w:trPr>
          <w:cantSplit/>
        </w:trPr>
        <w:tc>
          <w:tcPr>
            <w:shd w:fill="F8F9FA" w:val="clear"/>
            <w:tcW w:w="3168" w:type="dxa"/>
          </w:tcPr>
          <w:p>
            <w:pPr>
              <w:spacing w:before="60" w:after="60"/>
            </w:pPr>
            <w:r>
              <w:rPr>
                <w:rFonts w:ascii="Open Sans" w:hAnsi="Open Sans"/>
                <w:b/>
                <w:color w:val="1A1A2E"/>
                <w:sz w:val="20"/>
              </w:rPr>
              <w:t>iDRAC9 Enterprise 16G Kit</w:t>
            </w:r>
          </w:p>
        </w:tc>
        <w:tc>
          <w:tcPr>
            <w:tcW w:w="7056" w:type="dxa"/>
          </w:tcPr>
          <w:p>
            <w:pPr>
              <w:spacing w:before="60" w:after="60"/>
            </w:pPr>
            <w:r>
              <w:rPr>
                <w:rFonts w:ascii="Open Sans" w:hAnsi="Open Sans"/>
                <w:b w:val="0"/>
                <w:color w:val="1A1A2E"/>
                <w:sz w:val="20"/>
              </w:rPr>
              <w:t>Customer-installable upgrade for PowerEdge XR7620 and R760; enables virtual console, virtual media, remote firmware updates, and advanced server monitoring via web interface</w:t>
            </w:r>
          </w:p>
        </w:tc>
      </w:tr>
    </w:tbl>
    <w:p/>
    <w:p>
      <w:pPr>
        <w:spacing w:before="240" w:after="120"/>
      </w:pPr>
      <w:r>
        <w:rPr>
          <w:rFonts w:ascii="Open Sans" w:hAnsi="Open Sans"/>
          <w:b/>
          <w:color w:val="F67D4B"/>
          <w:sz w:val="32"/>
        </w:rPr>
        <w:t>Your Investment</w:t>
      </w:r>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2880"/>
        <w:gridCol w:w="5040"/>
        <w:gridCol w:w="2304"/>
      </w:tblGrid>
      <w:tr>
        <w:trPr>
          <w:cantSplit/>
        </w:trPr>
        <w:tc>
          <w:tcPr>
            <w:tcW w:w="2880" w:type="dxa"/>
            <w:shd w:fill="006DB6" w:val="clear"/>
          </w:tcPr>
          <w:p>
            <w:pPr>
              <w:spacing w:before="80" w:after="80"/>
            </w:pPr>
            <w:r>
              <w:rPr>
                <w:rFonts w:ascii="Open Sans" w:hAnsi="Open Sans"/>
                <w:b/>
                <w:color w:val="FFFFFF"/>
                <w:sz w:val="20"/>
              </w:rPr>
              <w:t>Item</w:t>
            </w:r>
          </w:p>
        </w:tc>
        <w:tc>
          <w:tcPr>
            <w:tcW w:w="5040" w:type="dxa"/>
            <w:shd w:fill="006DB6" w:val="clear"/>
          </w:tcPr>
          <w:p>
            <w:pPr>
              <w:spacing w:before="80" w:after="80"/>
            </w:pPr>
            <w:r>
              <w:rPr>
                <w:rFonts w:ascii="Open Sans" w:hAnsi="Open Sans"/>
                <w:b/>
                <w:color w:val="FFFFFF"/>
                <w:sz w:val="20"/>
              </w:rPr>
              <w:t>Description</w:t>
            </w:r>
          </w:p>
        </w:tc>
        <w:tc>
          <w:tcPr>
            <w:tcW w:w="2304" w:type="dxa"/>
            <w:shd w:fill="006DB6" w:val="clear"/>
          </w:tcPr>
          <w:p>
            <w:pPr>
              <w:spacing w:before="80" w:after="80"/>
              <w:jc w:val="right"/>
            </w:pPr>
            <w:r>
              <w:rPr>
                <w:rFonts w:ascii="Open Sans" w:hAnsi="Open Sans"/>
                <w:b/>
                <w:color w:val="FFFFFF"/>
                <w:sz w:val="20"/>
              </w:rPr>
              <w:t>Investment</w:t>
            </w:r>
          </w:p>
        </w:tc>
      </w:tr>
      <w:tr>
        <w:trPr>
          <w:cantSplit/>
        </w:trPr>
        <w:tc>
          <w:tcPr>
            <w:tcW w:w="2880" w:type="dxa"/>
            <w:shd w:fill="F8F9FA" w:val="clear"/>
          </w:tcPr>
          <w:p>
            <w:pPr>
              <w:spacing w:before="60" w:after="60"/>
            </w:pPr>
            <w:r>
              <w:rPr>
                <w:rFonts w:ascii="Open Sans" w:hAnsi="Open Sans"/>
                <w:b/>
                <w:color w:val="1A1A2E"/>
                <w:sz w:val="20"/>
              </w:rPr>
              <w:t>iDRAC9 Enterprise 15G</w:t>
            </w:r>
          </w:p>
        </w:tc>
        <w:tc>
          <w:tcPr>
            <w:tcW w:w="5040" w:type="dxa"/>
          </w:tcPr>
          <w:p>
            <w:pPr>
              <w:spacing w:before="60" w:after="60"/>
            </w:pPr>
            <w:r>
              <w:rPr>
                <w:rFonts w:ascii="Open Sans" w:hAnsi="Open Sans"/>
                <w:b w:val="0"/>
                <w:color w:val="1A1A2E"/>
                <w:sz w:val="20"/>
              </w:rPr>
              <w:t>Enterprise remote management kit for PowerEdge R650</w:t>
            </w:r>
          </w:p>
        </w:tc>
        <w:tc>
          <w:tcPr>
            <w:tcW w:w="2304" w:type="dxa"/>
          </w:tcPr>
          <w:p>
            <w:pPr>
              <w:spacing w:before="60" w:after="60"/>
              <w:jc w:val="right"/>
            </w:pPr>
            <w:r>
              <w:rPr>
                <w:rFonts w:ascii="Open Sans" w:hAnsi="Open Sans"/>
                <w:b w:val="0"/>
                <w:color w:val="1A1A2E"/>
                <w:sz w:val="20"/>
              </w:rPr>
              <w:t>$238.80</w:t>
            </w:r>
          </w:p>
        </w:tc>
      </w:tr>
      <w:tr>
        <w:trPr>
          <w:cantSplit/>
        </w:trPr>
        <w:tc>
          <w:tcPr>
            <w:tcW w:w="2880" w:type="dxa"/>
            <w:shd w:fill="F8F9FA" w:val="clear"/>
          </w:tcPr>
          <w:p>
            <w:pPr>
              <w:spacing w:before="60" w:after="60"/>
            </w:pPr>
            <w:r>
              <w:rPr>
                <w:rFonts w:ascii="Open Sans" w:hAnsi="Open Sans"/>
                <w:b/>
                <w:color w:val="1A1A2E"/>
                <w:sz w:val="20"/>
              </w:rPr>
              <w:t>iDRAC9 Enterprise 16G</w:t>
            </w:r>
          </w:p>
        </w:tc>
        <w:tc>
          <w:tcPr>
            <w:tcW w:w="5040" w:type="dxa"/>
          </w:tcPr>
          <w:p>
            <w:pPr>
              <w:spacing w:before="60" w:after="60"/>
            </w:pPr>
            <w:r>
              <w:rPr>
                <w:rFonts w:ascii="Open Sans" w:hAnsi="Open Sans"/>
                <w:b w:val="0"/>
                <w:color w:val="1A1A2E"/>
                <w:sz w:val="20"/>
              </w:rPr>
              <w:t>Enterprise remote management kit for PowerEdge XR7620</w:t>
            </w:r>
          </w:p>
        </w:tc>
        <w:tc>
          <w:tcPr>
            <w:tcW w:w="2304" w:type="dxa"/>
          </w:tcPr>
          <w:p>
            <w:pPr>
              <w:spacing w:before="60" w:after="60"/>
              <w:jc w:val="right"/>
            </w:pPr>
            <w:r>
              <w:rPr>
                <w:rFonts w:ascii="Open Sans" w:hAnsi="Open Sans"/>
                <w:b w:val="0"/>
                <w:color w:val="1A1A2E"/>
                <w:sz w:val="20"/>
              </w:rPr>
              <w:t>$238.80</w:t>
            </w:r>
          </w:p>
        </w:tc>
      </w:tr>
      <w:tr>
        <w:trPr>
          <w:cantSplit/>
        </w:trPr>
        <w:tc>
          <w:tcPr>
            <w:tcW w:w="2880" w:type="dxa"/>
            <w:shd w:fill="F8F9FA" w:val="clear"/>
          </w:tcPr>
          <w:p>
            <w:pPr>
              <w:spacing w:before="60" w:after="60"/>
            </w:pPr>
            <w:r>
              <w:rPr>
                <w:rFonts w:ascii="Open Sans" w:hAnsi="Open Sans"/>
                <w:b/>
                <w:color w:val="1A1A2E"/>
                <w:sz w:val="20"/>
              </w:rPr>
              <w:t>iDRAC9 Enterprise 16G</w:t>
            </w:r>
          </w:p>
        </w:tc>
        <w:tc>
          <w:tcPr>
            <w:tcW w:w="5040" w:type="dxa"/>
          </w:tcPr>
          <w:p>
            <w:pPr>
              <w:spacing w:before="60" w:after="60"/>
            </w:pPr>
            <w:r>
              <w:rPr>
                <w:rFonts w:ascii="Open Sans" w:hAnsi="Open Sans"/>
                <w:b w:val="0"/>
                <w:color w:val="1A1A2E"/>
                <w:sz w:val="20"/>
              </w:rPr>
              <w:t>Enterprise remote management kit for PowerEdge R760</w:t>
            </w:r>
          </w:p>
        </w:tc>
        <w:tc>
          <w:tcPr>
            <w:tcW w:w="2304" w:type="dxa"/>
          </w:tcPr>
          <w:p>
            <w:pPr>
              <w:spacing w:before="60" w:after="60"/>
              <w:jc w:val="right"/>
            </w:pPr>
            <w:r>
              <w:rPr>
                <w:rFonts w:ascii="Open Sans" w:hAnsi="Open Sans"/>
                <w:b w:val="0"/>
                <w:color w:val="1A1A2E"/>
                <w:sz w:val="20"/>
              </w:rPr>
              <w:t>$238.80</w:t>
            </w:r>
          </w:p>
        </w:tc>
      </w:tr>
      <w:tr>
        <w:trPr>
          <w:cantSplit/>
        </w:trPr>
        <w:tc>
          <w:tcPr>
            <w:tcW w:w="2880" w:type="dxa"/>
            <w:shd w:fill="F8F9FA" w:val="clear"/>
          </w:tcPr>
          <w:p>
            <w:pPr>
              <w:spacing w:before="60" w:after="60"/>
            </w:pPr>
            <w:r>
              <w:rPr>
                <w:rFonts w:ascii="Open Sans" w:hAnsi="Open Sans"/>
                <w:b/>
                <w:color w:val="1A1A2E"/>
                <w:sz w:val="20"/>
              </w:rPr>
              <w:t>Freight &amp; Handling</w:t>
            </w:r>
          </w:p>
        </w:tc>
        <w:tc>
          <w:tcPr>
            <w:tcW w:w="5040" w:type="dxa"/>
          </w:tcPr>
          <w:p>
            <w:pPr>
              <w:spacing w:before="60" w:after="60"/>
            </w:pPr>
            <w:r>
              <w:rPr>
                <w:rFonts w:ascii="Open Sans" w:hAnsi="Open Sans"/>
                <w:b w:val="0"/>
                <w:color w:val="1A1A2E"/>
                <w:sz w:val="20"/>
              </w:rPr>
              <w:t>Standard ground delivery for all equipment</w:t>
            </w:r>
          </w:p>
        </w:tc>
        <w:tc>
          <w:tcPr>
            <w:tcW w:w="2304" w:type="dxa"/>
          </w:tcPr>
          <w:p>
            <w:pPr>
              <w:spacing w:before="60" w:after="60"/>
              <w:jc w:val="right"/>
            </w:pPr>
            <w:r>
              <w:rPr>
                <w:rFonts w:ascii="Open Sans" w:hAnsi="Open Sans"/>
                <w:b w:val="0"/>
                <w:color w:val="1A1A2E"/>
                <w:sz w:val="20"/>
              </w:rPr>
              <w:t>$142.16</w:t>
            </w:r>
          </w:p>
        </w:tc>
      </w:tr>
      <w:tr>
        <w:trPr>
          <w:cantSplit/>
        </w:trPr>
        <w:tc>
          <w:tcPr>
            <w:tcW w:w="2880" w:type="dxa"/>
            <w:shd w:fill="1A1A2E" w:val="clear"/>
          </w:tcPr>
          <w:p>
            <w:pPr>
              <w:spacing w:before="80" w:after="80"/>
            </w:pPr>
            <w:r>
              <w:rPr>
                <w:rFonts w:ascii="Open Sans" w:hAnsi="Open Sans"/>
                <w:b/>
                <w:color w:val="FFFFFF"/>
                <w:sz w:val="22"/>
              </w:rPr>
              <w:t>Total Investment</w:t>
            </w:r>
          </w:p>
        </w:tc>
        <w:tc>
          <w:tcPr>
            <w:tcW w:w="5040" w:type="dxa"/>
            <w:shd w:fill="1A1A2E" w:val="clear"/>
          </w:tcPr>
          <w:p>
            <w:pPr>
              <w:spacing w:before="80" w:after="80"/>
            </w:pPr>
          </w:p>
        </w:tc>
        <w:tc>
          <w:tcPr>
            <w:tcW w:w="2304" w:type="dxa"/>
            <w:shd w:fill="1A1A2E" w:val="clear"/>
          </w:tcPr>
          <w:p>
            <w:pPr>
              <w:spacing w:before="80" w:after="80"/>
              <w:jc w:val="right"/>
            </w:pPr>
            <w:r>
              <w:rPr>
                <w:rFonts w:ascii="Open Sans" w:hAnsi="Open Sans"/>
                <w:b/>
                <w:color w:val="FFFFFF"/>
                <w:sz w:val="24"/>
              </w:rPr>
              <w:t>$858.56</w:t>
            </w:r>
          </w:p>
        </w:tc>
      </w:tr>
    </w:tbl>
    <w:p/>
    <w:p>
      <w:pPr>
        <w:spacing w:before="240" w:after="120"/>
      </w:pPr>
      <w:r>
        <w:rPr>
          <w:rFonts w:ascii="Open Sans" w:hAnsi="Open Sans"/>
          <w:b/>
          <w:color w:val="006DB6"/>
          <w:sz w:val="28"/>
        </w:rPr>
        <w:t>Included With Your Equipment</w:t>
      </w:r>
    </w:p>
    <w:p>
      <w:pPr>
        <w:pStyle w:val="ListBullet"/>
        <w:spacing w:after="40"/>
      </w:pPr>
      <w:r>
        <w:rPr>
          <w:rFonts w:ascii="Open Sans" w:hAnsi="Open Sans"/>
          <w:b w:val="0"/>
          <w:color w:val="1A1A2E"/>
          <w:sz w:val="20"/>
        </w:rPr>
        <w:t>Technijian procurement and order management</w:t>
      </w:r>
    </w:p>
    <w:p>
      <w:pPr>
        <w:pStyle w:val="ListBullet"/>
        <w:spacing w:after="40"/>
      </w:pPr>
      <w:r>
        <w:rPr>
          <w:rFonts w:ascii="Open Sans" w:hAnsi="Open Sans"/>
          <w:b w:val="0"/>
          <w:color w:val="1A1A2E"/>
          <w:sz w:val="20"/>
        </w:rPr>
        <w:t>Pre-delivery configuration validation and burn-in testing</w:t>
      </w:r>
    </w:p>
    <w:p>
      <w:pPr>
        <w:pStyle w:val="ListBullet"/>
        <w:spacing w:after="40"/>
      </w:pPr>
      <w:r>
        <w:rPr>
          <w:rFonts w:ascii="Open Sans" w:hAnsi="Open Sans"/>
          <w:b w:val="0"/>
          <w:color w:val="1A1A2E"/>
          <w:sz w:val="20"/>
        </w:rPr>
        <w:t>BIOS, firmware, and iDRAC configuration to Technijian standards</w:t>
      </w:r>
    </w:p>
    <w:p>
      <w:pPr>
        <w:pStyle w:val="ListBullet"/>
        <w:spacing w:after="40"/>
      </w:pPr>
      <w:r>
        <w:rPr>
          <w:rFonts w:ascii="Open Sans" w:hAnsi="Open Sans"/>
          <w:b w:val="0"/>
          <w:color w:val="1A1A2E"/>
          <w:sz w:val="20"/>
        </w:rPr>
        <w:t>Asset tagging, documentation, and inventory registration</w:t>
      </w:r>
    </w:p>
    <w:p>
      <w:pPr>
        <w:pStyle w:val="ListBullet"/>
        <w:spacing w:after="40"/>
      </w:pPr>
      <w:r>
        <w:rPr>
          <w:rFonts w:ascii="Open Sans" w:hAnsi="Open Sans"/>
          <w:b w:val="0"/>
          <w:color w:val="1A1A2E"/>
          <w:sz w:val="20"/>
        </w:rPr>
        <w:t>Standard ground freight and delivery coordination</w:t>
      </w:r>
    </w:p>
    <w:p>
      <w:pPr>
        <w:pStyle w:val="ListBullet"/>
        <w:spacing w:after="40"/>
      </w:pPr>
      <w:r>
        <w:rPr>
          <w:rFonts w:ascii="Open Sans" w:hAnsi="Open Sans"/>
          <w:b w:val="0"/>
          <w:color w:val="1A1A2E"/>
          <w:sz w:val="20"/>
        </w:rPr>
        <w:t>Warranty claims coordination for the full 5-year ProSupport term</w:t>
      </w:r>
    </w:p>
    <w:p>
      <w:pPr>
        <w:spacing w:before="240" w:after="120"/>
      </w:pPr>
      <w:r>
        <w:rPr>
          <w:rFonts w:ascii="Open Sans" w:hAnsi="Open Sans"/>
          <w:b/>
          <w:color w:val="006DB6"/>
          <w:sz w:val="28"/>
        </w:rPr>
        <w:t>Terms &amp; Conditions</w:t>
      </w:r>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3168"/>
        <w:gridCol w:w="7056"/>
      </w:tblGrid>
      <w:tr>
        <w:trPr>
          <w:cantSplit/>
        </w:trPr>
        <w:tc>
          <w:tcPr>
            <w:shd w:fill="F8F9FA" w:val="clear"/>
            <w:tcW w:w="3168" w:type="dxa"/>
          </w:tcPr>
          <w:p>
            <w:pPr>
              <w:spacing w:before="60" w:after="60"/>
            </w:pPr>
            <w:r>
              <w:rPr>
                <w:rFonts w:ascii="Open Sans" w:hAnsi="Open Sans"/>
                <w:b/>
                <w:color w:val="1A1A2E"/>
                <w:sz w:val="20"/>
              </w:rPr>
              <w:t>Equipment Condition</w:t>
            </w:r>
          </w:p>
        </w:tc>
        <w:tc>
          <w:tcPr>
            <w:tcW w:w="7056" w:type="dxa"/>
          </w:tcPr>
          <w:p>
            <w:pPr>
              <w:spacing w:before="60" w:after="60"/>
            </w:pPr>
            <w:r>
              <w:rPr>
                <w:rFonts w:ascii="Open Sans" w:hAnsi="Open Sans"/>
                <w:b w:val="0"/>
                <w:color w:val="1A1A2E"/>
                <w:sz w:val="20"/>
              </w:rPr>
              <w:t>Dell Outlet — Certified Refurbished with Dell factory warranty</w:t>
            </w:r>
          </w:p>
        </w:tc>
      </w:tr>
      <w:tr>
        <w:trPr>
          <w:cantSplit/>
        </w:trPr>
        <w:tc>
          <w:tcPr>
            <w:shd w:fill="F8F9FA" w:val="clear"/>
            <w:tcW w:w="3168" w:type="dxa"/>
          </w:tcPr>
          <w:p>
            <w:pPr>
              <w:spacing w:before="60" w:after="60"/>
            </w:pPr>
            <w:r>
              <w:rPr>
                <w:rFonts w:ascii="Open Sans" w:hAnsi="Open Sans"/>
                <w:b/>
                <w:color w:val="1A1A2E"/>
                <w:sz w:val="20"/>
              </w:rPr>
              <w:t>Warranty</w:t>
            </w:r>
          </w:p>
        </w:tc>
        <w:tc>
          <w:tcPr>
            <w:tcW w:w="7056" w:type="dxa"/>
          </w:tcPr>
          <w:p>
            <w:pPr>
              <w:spacing w:before="60" w:after="60"/>
            </w:pPr>
            <w:r>
              <w:rPr>
                <w:rFonts w:ascii="Open Sans" w:hAnsi="Open Sans"/>
                <w:b w:val="0"/>
                <w:color w:val="1A1A2E"/>
                <w:sz w:val="20"/>
              </w:rPr>
              <w:t>5-Year Dell ProSupport with Next-Business-Day On-Site Service</w:t>
            </w:r>
          </w:p>
        </w:tc>
      </w:tr>
      <w:tr>
        <w:trPr>
          <w:cantSplit/>
        </w:trPr>
        <w:tc>
          <w:tcPr>
            <w:shd w:fill="F8F9FA" w:val="clear"/>
            <w:tcW w:w="3168" w:type="dxa"/>
          </w:tcPr>
          <w:p>
            <w:pPr>
              <w:spacing w:before="60" w:after="60"/>
            </w:pPr>
            <w:r>
              <w:rPr>
                <w:rFonts w:ascii="Open Sans" w:hAnsi="Open Sans"/>
                <w:b/>
                <w:color w:val="1A1A2E"/>
                <w:sz w:val="20"/>
              </w:rPr>
              <w:t>Delivery</w:t>
            </w:r>
          </w:p>
        </w:tc>
        <w:tc>
          <w:tcPr>
            <w:tcW w:w="7056" w:type="dxa"/>
          </w:tcPr>
          <w:p>
            <w:pPr>
              <w:spacing w:before="60" w:after="60"/>
            </w:pPr>
            <w:r>
              <w:rPr>
                <w:rFonts w:ascii="Open Sans" w:hAnsi="Open Sans"/>
                <w:b w:val="0"/>
                <w:color w:val="1A1A2E"/>
                <w:sz w:val="20"/>
              </w:rPr>
              <w:t>Estimated delivery within 7-10 business days of purchase order</w:t>
            </w:r>
          </w:p>
        </w:tc>
      </w:tr>
      <w:tr>
        <w:trPr>
          <w:cantSplit/>
        </w:trPr>
        <w:tc>
          <w:tcPr>
            <w:shd w:fill="F8F9FA" w:val="clear"/>
            <w:tcW w:w="3168" w:type="dxa"/>
          </w:tcPr>
          <w:p>
            <w:pPr>
              <w:spacing w:before="60" w:after="60"/>
            </w:pPr>
            <w:r>
              <w:rPr>
                <w:rFonts w:ascii="Open Sans" w:hAnsi="Open Sans"/>
                <w:b/>
                <w:color w:val="1A1A2E"/>
                <w:sz w:val="20"/>
              </w:rPr>
              <w:t>Freight</w:t>
            </w:r>
          </w:p>
        </w:tc>
        <w:tc>
          <w:tcPr>
            <w:tcW w:w="7056" w:type="dxa"/>
          </w:tcPr>
          <w:p>
            <w:pPr>
              <w:spacing w:before="60" w:after="60"/>
            </w:pPr>
            <w:r>
              <w:rPr>
                <w:rFonts w:ascii="Open Sans" w:hAnsi="Open Sans"/>
                <w:b w:val="0"/>
                <w:color w:val="1A1A2E"/>
                <w:sz w:val="20"/>
              </w:rPr>
              <w:t>Standard ground shipping included</w:t>
            </w:r>
          </w:p>
        </w:tc>
      </w:tr>
      <w:tr>
        <w:trPr>
          <w:cantSplit/>
        </w:trPr>
        <w:tc>
          <w:tcPr>
            <w:shd w:fill="F8F9FA" w:val="clear"/>
            <w:tcW w:w="3168" w:type="dxa"/>
          </w:tcPr>
          <w:p>
            <w:pPr>
              <w:spacing w:before="60" w:after="60"/>
            </w:pPr>
            <w:r>
              <w:rPr>
                <w:rFonts w:ascii="Open Sans" w:hAnsi="Open Sans"/>
                <w:b/>
                <w:color w:val="1A1A2E"/>
                <w:sz w:val="20"/>
              </w:rPr>
              <w:t>Payment Terms</w:t>
            </w:r>
          </w:p>
        </w:tc>
        <w:tc>
          <w:tcPr>
            <w:tcW w:w="7056" w:type="dxa"/>
          </w:tcPr>
          <w:p>
            <w:pPr>
              <w:spacing w:before="60" w:after="60"/>
            </w:pPr>
            <w:r>
              <w:rPr>
                <w:rFonts w:ascii="Open Sans" w:hAnsi="Open Sans"/>
                <w:b w:val="0"/>
                <w:color w:val="1A1A2E"/>
                <w:sz w:val="20"/>
              </w:rPr>
              <w:t>50% at purchase order, 50% on delivery</w:t>
            </w:r>
          </w:p>
        </w:tc>
      </w:tr>
      <w:tr>
        <w:trPr>
          <w:cantSplit/>
        </w:trPr>
        <w:tc>
          <w:tcPr>
            <w:shd w:fill="F8F9FA" w:val="clear"/>
            <w:tcW w:w="3168" w:type="dxa"/>
          </w:tcPr>
          <w:p>
            <w:pPr>
              <w:spacing w:before="60" w:after="60"/>
            </w:pPr>
            <w:r>
              <w:rPr>
                <w:rFonts w:ascii="Open Sans" w:hAnsi="Open Sans"/>
                <w:b/>
                <w:color w:val="1A1A2E"/>
                <w:sz w:val="20"/>
              </w:rPr>
              <w:t>Validity</w:t>
            </w:r>
          </w:p>
        </w:tc>
        <w:tc>
          <w:tcPr>
            <w:tcW w:w="7056" w:type="dxa"/>
          </w:tcPr>
          <w:p>
            <w:pPr>
              <w:spacing w:before="60" w:after="60"/>
            </w:pPr>
            <w:r>
              <w:rPr>
                <w:rFonts w:ascii="Open Sans" w:hAnsi="Open Sans"/>
                <w:b w:val="0"/>
                <w:color w:val="1A1A2E"/>
                <w:sz w:val="20"/>
              </w:rPr>
              <w:t>This quote is valid for 14 days from the date above</w:t>
            </w:r>
          </w:p>
        </w:tc>
      </w:tr>
    </w:tbl>
    <w:p/>
    <w:p/>
    <w:p>
      <w:pPr>
        <w:spacing w:after="120"/>
      </w:pPr>
      <w:r>
        <w:rPr>
          <w:rFonts w:ascii="Open Sans" w:hAnsi="Open Sans"/>
          <w:b w:val="0"/>
          <w:color w:val="1A1A2E"/>
          <w:sz w:val="20"/>
        </w:rPr>
        <w:t>To proceed, reply to this quote with your approval and Technijian will place the order with Dell immediately. If you have questions or would like to discuss, please use the booking link in my email signature.</w:t>
      </w:r>
    </w:p>
    <w:p/>
    <w:p>
      <w:pPr>
        <w:spacing w:after="120"/>
      </w:pPr>
      <w:r>
        <w:rPr>
          <w:rFonts w:ascii="Open Sans" w:hAnsi="Open Sans"/>
          <w:b w:val="0"/>
          <w:color w:val="1A1A2E"/>
          <w:sz w:val="20"/>
        </w:rPr>
        <w:t>Respectfully submitted,</w:t>
      </w:r>
    </w:p>
    <w:p>
      <w:pPr>
        <w:spacing w:after="120"/>
      </w:pPr>
      <w:r>
        <w:rPr>
          <w:rFonts w:ascii="Open Sans" w:hAnsi="Open Sans"/>
          <w:b/>
          <w:color w:val="006DB6"/>
          <w:sz w:val="22"/>
        </w:rPr>
        <w:t>Ravi Jain</w:t>
      </w:r>
    </w:p>
    <w:p>
      <w:pPr>
        <w:spacing w:after="120"/>
      </w:pPr>
      <w:r>
        <w:rPr>
          <w:rFonts w:ascii="Open Sans" w:hAnsi="Open Sans"/>
          <w:b w:val="0"/>
          <w:color w:val="59595B"/>
          <w:sz w:val="20"/>
        </w:rPr>
        <w:t>Chief Executive Officer</w:t>
      </w:r>
    </w:p>
    <w:p>
      <w:pPr>
        <w:spacing w:after="120"/>
      </w:pPr>
      <w:r>
        <w:rPr>
          <w:rFonts w:ascii="Open Sans" w:hAnsi="Open Sans"/>
          <w:b w:val="0"/>
          <w:color w:val="59595B"/>
          <w:sz w:val="20"/>
        </w:rPr>
        <w:t>Technijian, Inc.  |  rjain@technijian.com</w:t>
      </w:r>
    </w:p>
    <w:p/>
    <w:tbl>
      <w:tblPr>
        <w:tblLook w:firstColumn="1" w:firstRow="1" w:lastColumn="0" w:lastRow="0" w:noHBand="0" w:noVBand="1" w:val="04A0"/>
        <w:tblLayout w:type="fixed"/>
        <w:tblW w:w="10224" w:type="dxa"/>
      </w:tblPr>
      <w:tblGrid>
        <w:gridCol w:w="10224"/>
      </w:tblGrid>
      <w:tr>
        <w:trPr>
          <w:cantSplit/>
        </w:trPr>
        <w:tc>
          <w:tcPr>
            <w:shd w:fill="F8F9FA" w:val="clear"/>
            <w:tcW w:w="10224" w:type="dxa"/>
          </w:tcPr>
          <w:p>
            <w:pPr>
              <w:spacing w:before="160" w:after="160"/>
            </w:pPr>
            <w:r>
              <w:rPr>
                <w:rFonts w:ascii="Open Sans" w:hAnsi="Open Sans"/>
                <w:b w:val="0"/>
                <w:color w:val="59595B"/>
                <w:sz w:val="18"/>
              </w:rPr>
              <w:t>Technijian, Inc.  |  18 Technology Drive, Suite 141, Irvine, CA 92618  |  technijian.com  |  This quote is confidential and prepared exclusively for Oaktree Law.</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