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Look w:firstColumn="1" w:firstRow="1" w:lastColumn="0" w:lastRow="0" w:noHBand="0" w:noVBand="1" w:val="04A0"/>
        <w:tblBorders>
          <w:top w:val="none" w:sz="0" w:space="0" w:color="auto"/>
          <w:left w:val="none" w:sz="0" w:space="0" w:color="auto"/>
          <w:bottom w:val="none" w:sz="0" w:space="0" w:color="auto"/>
          <w:right w:val="none" w:sz="0" w:space="0" w:color="auto"/>
        </w:tblBorders>
        <w:tblLayout w:type="fixed"/>
        <w:tblW w:w="10224" w:type="dxa"/>
      </w:tblPr>
      <w:tblGrid>
        <w:gridCol w:w="10224"/>
      </w:tblGrid>
      <w:tr>
        <w:trPr>
          <w:cantSplit/>
        </w:trPr>
        <w:tc>
          <w:tcPr>
            <w:shd w:fill="1A1A2E" w:val="clear"/>
            <w:tcW w:w="10224" w:type="dxa"/>
          </w:tcPr>
          <w:p>
            <w:pPr>
              <w:spacing w:before="400" w:after="120"/>
            </w:pPr>
            <w:r>
              <w:rPr>
                <w:rFonts w:ascii="Open Sans" w:hAnsi="Open Sans"/>
                <w:b/>
                <w:color w:val="FFFFFF"/>
                <w:sz w:val="48"/>
              </w:rPr>
              <w:t>Equipment Quote — Dell PowerEdge XR7620</w:t>
            </w:r>
          </w:p>
          <w:p>
            <w:pPr>
              <w:spacing w:after="400"/>
            </w:pPr>
            <w:r>
              <w:rPr>
                <w:rFonts w:ascii="Open Sans" w:hAnsi="Open Sans"/>
                <w:b w:val="0"/>
                <w:color w:val="CCCCCC"/>
                <w:sz w:val="22"/>
              </w:rPr>
              <w:t>Prepared for Oaktree Law  |  April 16, 2026</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Quote Number</w:t>
            </w:r>
          </w:p>
        </w:tc>
        <w:tc>
          <w:tcPr>
            <w:tcW w:w="7056" w:type="dxa"/>
          </w:tcPr>
          <w:p>
            <w:pPr>
              <w:spacing w:before="60" w:after="60"/>
            </w:pPr>
            <w:r>
              <w:rPr>
                <w:rFonts w:ascii="Open Sans" w:hAnsi="Open Sans"/>
                <w:b w:val="0"/>
                <w:color w:val="1A1A2E"/>
                <w:sz w:val="20"/>
              </w:rPr>
              <w:t>TQ-OKL-2026-XR7620</w:t>
            </w:r>
          </w:p>
        </w:tc>
      </w:tr>
      <w:tr>
        <w:trPr>
          <w:cantSplit/>
        </w:trPr>
        <w:tc>
          <w:tcPr>
            <w:shd w:fill="F8F9FA" w:val="clear"/>
            <w:tcW w:w="3168" w:type="dxa"/>
          </w:tcPr>
          <w:p>
            <w:pPr>
              <w:spacing w:before="60" w:after="60"/>
            </w:pPr>
            <w:r>
              <w:rPr>
                <w:rFonts w:ascii="Open Sans" w:hAnsi="Open Sans"/>
                <w:b/>
                <w:color w:val="1A1A2E"/>
                <w:sz w:val="20"/>
              </w:rPr>
              <w:t>Prepared For</w:t>
            </w:r>
          </w:p>
        </w:tc>
        <w:tc>
          <w:tcPr>
            <w:tcW w:w="7056" w:type="dxa"/>
          </w:tcPr>
          <w:p>
            <w:pPr>
              <w:spacing w:before="60" w:after="60"/>
            </w:pPr>
            <w:r>
              <w:rPr>
                <w:rFonts w:ascii="Open Sans" w:hAnsi="Open Sans"/>
                <w:b w:val="0"/>
                <w:color w:val="1A1A2E"/>
                <w:sz w:val="20"/>
              </w:rPr>
              <w:t>Oaktree Law</w:t>
            </w:r>
          </w:p>
        </w:tc>
      </w:tr>
      <w:tr>
        <w:trPr>
          <w:cantSplit/>
        </w:trPr>
        <w:tc>
          <w:tcPr>
            <w:shd w:fill="F8F9FA" w:val="clear"/>
            <w:tcW w:w="3168" w:type="dxa"/>
          </w:tcPr>
          <w:p>
            <w:pPr>
              <w:spacing w:before="60" w:after="60"/>
            </w:pPr>
            <w:r>
              <w:rPr>
                <w:rFonts w:ascii="Open Sans" w:hAnsi="Open Sans"/>
                <w:b/>
                <w:color w:val="1A1A2E"/>
                <w:sz w:val="20"/>
              </w:rPr>
              <w:t>Attention</w:t>
            </w:r>
          </w:p>
        </w:tc>
        <w:tc>
          <w:tcPr>
            <w:tcW w:w="7056" w:type="dxa"/>
          </w:tcPr>
          <w:p>
            <w:pPr>
              <w:spacing w:before="60" w:after="60"/>
            </w:pPr>
            <w:r>
              <w:rPr>
                <w:rFonts w:ascii="Open Sans" w:hAnsi="Open Sans"/>
                <w:b w:val="0"/>
                <w:color w:val="1A1A2E"/>
                <w:sz w:val="20"/>
              </w:rPr>
              <w:t>Ed Pits</w:t>
            </w:r>
          </w:p>
        </w:tc>
      </w:tr>
      <w:tr>
        <w:trPr>
          <w:cantSplit/>
        </w:trPr>
        <w:tc>
          <w:tcPr>
            <w:shd w:fill="F8F9FA" w:val="clear"/>
            <w:tcW w:w="3168" w:type="dxa"/>
          </w:tcPr>
          <w:p>
            <w:pPr>
              <w:spacing w:before="60" w:after="60"/>
            </w:pPr>
            <w:r>
              <w:rPr>
                <w:rFonts w:ascii="Open Sans" w:hAnsi="Open Sans"/>
                <w:b/>
                <w:color w:val="1A1A2E"/>
                <w:sz w:val="20"/>
              </w:rPr>
              <w:t>Prepared By</w:t>
            </w:r>
          </w:p>
        </w:tc>
        <w:tc>
          <w:tcPr>
            <w:tcW w:w="7056" w:type="dxa"/>
          </w:tcPr>
          <w:p>
            <w:pPr>
              <w:spacing w:before="60" w:after="60"/>
            </w:pPr>
            <w:r>
              <w:rPr>
                <w:rFonts w:ascii="Open Sans" w:hAnsi="Open Sans"/>
                <w:b w:val="0"/>
                <w:color w:val="1A1A2E"/>
                <w:sz w:val="20"/>
              </w:rPr>
              <w:t>Ravi Jain, CEO — Technijian, Inc.</w:t>
            </w:r>
          </w:p>
        </w:tc>
      </w:tr>
      <w:tr>
        <w:trPr>
          <w:cantSplit/>
        </w:trPr>
        <w:tc>
          <w:tcPr>
            <w:shd w:fill="F8F9FA" w:val="clear"/>
            <w:tcW w:w="3168" w:type="dxa"/>
          </w:tcPr>
          <w:p>
            <w:pPr>
              <w:spacing w:before="60" w:after="60"/>
            </w:pPr>
            <w:r>
              <w:rPr>
                <w:rFonts w:ascii="Open Sans" w:hAnsi="Open Sans"/>
                <w:b/>
                <w:color w:val="1A1A2E"/>
                <w:sz w:val="20"/>
              </w:rPr>
              <w:t>Date</w:t>
            </w:r>
          </w:p>
        </w:tc>
        <w:tc>
          <w:tcPr>
            <w:tcW w:w="7056" w:type="dxa"/>
          </w:tcPr>
          <w:p>
            <w:pPr>
              <w:spacing w:before="60" w:after="60"/>
            </w:pPr>
            <w:r>
              <w:rPr>
                <w:rFonts w:ascii="Open Sans" w:hAnsi="Open Sans"/>
                <w:b w:val="0"/>
                <w:color w:val="1A1A2E"/>
                <w:sz w:val="20"/>
              </w:rPr>
              <w:t>April 16, 2026</w:t>
            </w:r>
          </w:p>
        </w:tc>
      </w:tr>
      <w:tr>
        <w:trPr>
          <w:cantSplit/>
        </w:trPr>
        <w:tc>
          <w:tcPr>
            <w:shd w:fill="F8F9FA" w:val="clear"/>
            <w:tcW w:w="3168" w:type="dxa"/>
          </w:tcPr>
          <w:p>
            <w:pPr>
              <w:spacing w:before="60" w:after="60"/>
            </w:pPr>
            <w:r>
              <w:rPr>
                <w:rFonts w:ascii="Open Sans" w:hAnsi="Open Sans"/>
                <w:b/>
                <w:color w:val="1A1A2E"/>
                <w:sz w:val="20"/>
              </w:rPr>
              <w:t>Valid Through</w:t>
            </w:r>
          </w:p>
        </w:tc>
        <w:tc>
          <w:tcPr>
            <w:tcW w:w="7056" w:type="dxa"/>
          </w:tcPr>
          <w:p>
            <w:pPr>
              <w:spacing w:before="60" w:after="60"/>
            </w:pPr>
            <w:r>
              <w:rPr>
                <w:rFonts w:ascii="Open Sans" w:hAnsi="Open Sans"/>
                <w:b w:val="0"/>
                <w:color w:val="1A1A2E"/>
                <w:sz w:val="20"/>
              </w:rPr>
              <w:t>April 30, 2026</w:t>
            </w:r>
          </w:p>
        </w:tc>
      </w:tr>
      <w:tr>
        <w:trPr>
          <w:cantSplit/>
        </w:trPr>
        <w:tc>
          <w:tcPr>
            <w:shd w:fill="F8F9FA" w:val="clear"/>
            <w:tcW w:w="3168" w:type="dxa"/>
          </w:tcPr>
          <w:p>
            <w:pPr>
              <w:spacing w:before="60" w:after="60"/>
            </w:pPr>
            <w:r>
              <w:rPr>
                <w:rFonts w:ascii="Open Sans" w:hAnsi="Open Sans"/>
                <w:b/>
                <w:color w:val="1A1A2E"/>
                <w:sz w:val="20"/>
              </w:rPr>
              <w:t>Dell Reference</w:t>
            </w:r>
          </w:p>
        </w:tc>
        <w:tc>
          <w:tcPr>
            <w:tcW w:w="7056" w:type="dxa"/>
          </w:tcPr>
          <w:p>
            <w:pPr>
              <w:spacing w:before="60" w:after="60"/>
            </w:pPr>
            <w:r>
              <w:rPr>
                <w:rFonts w:ascii="Open Sans" w:hAnsi="Open Sans"/>
                <w:b w:val="0"/>
                <w:color w:val="1A1A2E"/>
                <w:sz w:val="20"/>
              </w:rPr>
              <w:t>Dell Quote #3000201473092.1</w:t>
            </w:r>
          </w:p>
        </w:tc>
      </w:tr>
    </w:tbl>
    <w:p/>
    <w:p>
      <w:pPr>
        <w:spacing w:before="240" w:after="120"/>
      </w:pPr>
      <w:r>
        <w:rPr>
          <w:rFonts w:ascii="Open Sans" w:hAnsi="Open Sans"/>
          <w:b/>
          <w:color w:val="006DB6"/>
          <w:sz w:val="28"/>
        </w:rPr>
        <w:t>Equipment Summary</w:t>
      </w:r>
    </w:p>
    <w:p>
      <w:pPr>
        <w:spacing w:after="120"/>
      </w:pPr>
      <w:r>
        <w:rPr>
          <w:rFonts w:ascii="Open Sans" w:hAnsi="Open Sans"/>
          <w:b w:val="0"/>
          <w:color w:val="1A1A2E"/>
          <w:sz w:val="20"/>
        </w:rPr>
        <w:t>The Dell PowerEdge XR7620 is a rugged, GPU-enabled server designed for AI inference, edge computing, and high-performance workloads. This configuration includes dual Intel Xeon Gold processors, 256 GB of DDR5 memory, an NVIDIA L4 GPU with 24 GB of dedicated video memory, NVMe flash storage, and 5-year Dell ProSupport.</w:t>
      </w:r>
    </w:p>
    <w:p>
      <w:pPr>
        <w:spacing w:before="240" w:after="120"/>
      </w:pPr>
      <w:r>
        <w:rPr>
          <w:rFonts w:ascii="Open Sans" w:hAnsi="Open Sans"/>
          <w:b/>
          <w:color w:val="006DB6"/>
          <w:sz w:val="28"/>
        </w:rPr>
        <w:t>Configuration Details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Server</w:t>
            </w:r>
          </w:p>
        </w:tc>
        <w:tc>
          <w:tcPr>
            <w:tcW w:w="7056" w:type="dxa"/>
          </w:tcPr>
          <w:p>
            <w:pPr>
              <w:spacing w:before="60" w:after="60"/>
            </w:pPr>
            <w:r>
              <w:rPr>
                <w:rFonts w:ascii="Open Sans" w:hAnsi="Open Sans"/>
                <w:b w:val="0"/>
                <w:color w:val="1A1A2E"/>
                <w:sz w:val="20"/>
              </w:rPr>
              <w:t>Dell PowerEdge XR7620 (Gen16, Certified Refurbished)</w:t>
            </w:r>
          </w:p>
        </w:tc>
      </w:tr>
      <w:tr>
        <w:trPr>
          <w:cantSplit/>
        </w:trPr>
        <w:tc>
          <w:tcPr>
            <w:shd w:fill="F8F9FA" w:val="clear"/>
            <w:tcW w:w="3168" w:type="dxa"/>
          </w:tcPr>
          <w:p>
            <w:pPr>
              <w:spacing w:before="60" w:after="60"/>
            </w:pPr>
            <w:r>
              <w:rPr>
                <w:rFonts w:ascii="Open Sans" w:hAnsi="Open Sans"/>
                <w:b/>
                <w:color w:val="1A1A2E"/>
                <w:sz w:val="20"/>
              </w:rPr>
              <w:t>Processors</w:t>
            </w:r>
          </w:p>
        </w:tc>
        <w:tc>
          <w:tcPr>
            <w:tcW w:w="7056" w:type="dxa"/>
          </w:tcPr>
          <w:p>
            <w:pPr>
              <w:spacing w:before="60" w:after="60"/>
            </w:pPr>
            <w:r>
              <w:rPr>
                <w:rFonts w:ascii="Open Sans" w:hAnsi="Open Sans"/>
                <w:b w:val="0"/>
                <w:color w:val="1A1A2E"/>
                <w:sz w:val="20"/>
              </w:rPr>
              <w:t>2x Intel Xeon Gold 6426Y (16 cores / 32 threads each, up to 4.10 GHz, 37.5MB Cache)</w:t>
            </w:r>
          </w:p>
        </w:tc>
      </w:tr>
      <w:tr>
        <w:trPr>
          <w:cantSplit/>
        </w:trPr>
        <w:tc>
          <w:tcPr>
            <w:shd w:fill="F8F9FA" w:val="clear"/>
            <w:tcW w:w="3168" w:type="dxa"/>
          </w:tcPr>
          <w:p>
            <w:pPr>
              <w:spacing w:before="60" w:after="60"/>
            </w:pPr>
            <w:r>
              <w:rPr>
                <w:rFonts w:ascii="Open Sans" w:hAnsi="Open Sans"/>
                <w:b/>
                <w:color w:val="1A1A2E"/>
                <w:sz w:val="20"/>
              </w:rPr>
              <w:t>Total Cores</w:t>
            </w:r>
          </w:p>
        </w:tc>
        <w:tc>
          <w:tcPr>
            <w:tcW w:w="7056" w:type="dxa"/>
          </w:tcPr>
          <w:p>
            <w:pPr>
              <w:spacing w:before="60" w:after="60"/>
            </w:pPr>
            <w:r>
              <w:rPr>
                <w:rFonts w:ascii="Open Sans" w:hAnsi="Open Sans"/>
                <w:b w:val="0"/>
                <w:color w:val="1A1A2E"/>
                <w:sz w:val="20"/>
              </w:rPr>
              <w:t>32 cores / 64 threads</w:t>
            </w:r>
          </w:p>
        </w:tc>
      </w:tr>
      <w:tr>
        <w:trPr>
          <w:cantSplit/>
        </w:trPr>
        <w:tc>
          <w:tcPr>
            <w:shd w:fill="F8F9FA" w:val="clear"/>
            <w:tcW w:w="3168" w:type="dxa"/>
          </w:tcPr>
          <w:p>
            <w:pPr>
              <w:spacing w:before="60" w:after="60"/>
            </w:pPr>
            <w:r>
              <w:rPr>
                <w:rFonts w:ascii="Open Sans" w:hAnsi="Open Sans"/>
                <w:b/>
                <w:color w:val="1A1A2E"/>
                <w:sz w:val="20"/>
              </w:rPr>
              <w:t>Memory</w:t>
            </w:r>
          </w:p>
        </w:tc>
        <w:tc>
          <w:tcPr>
            <w:tcW w:w="7056" w:type="dxa"/>
          </w:tcPr>
          <w:p>
            <w:pPr>
              <w:spacing w:before="60" w:after="60"/>
            </w:pPr>
            <w:r>
              <w:rPr>
                <w:rFonts w:ascii="Open Sans" w:hAnsi="Open Sans"/>
                <w:b w:val="0"/>
                <w:color w:val="1A1A2E"/>
                <w:sz w:val="20"/>
              </w:rPr>
              <w:t>256 GB DDR5 ECC RDIMM (16x 16GB, 5600 MT/s)</w:t>
            </w:r>
          </w:p>
        </w:tc>
      </w:tr>
      <w:tr>
        <w:trPr>
          <w:cantSplit/>
        </w:trPr>
        <w:tc>
          <w:tcPr>
            <w:shd w:fill="F8F9FA" w:val="clear"/>
            <w:tcW w:w="3168" w:type="dxa"/>
          </w:tcPr>
          <w:p>
            <w:pPr>
              <w:spacing w:before="60" w:after="60"/>
            </w:pPr>
            <w:r>
              <w:rPr>
                <w:rFonts w:ascii="Open Sans" w:hAnsi="Open Sans"/>
                <w:b/>
                <w:color w:val="1A1A2E"/>
                <w:sz w:val="20"/>
              </w:rPr>
              <w:t>GPU</w:t>
            </w:r>
          </w:p>
        </w:tc>
        <w:tc>
          <w:tcPr>
            <w:tcW w:w="7056" w:type="dxa"/>
          </w:tcPr>
          <w:p>
            <w:pPr>
              <w:spacing w:before="60" w:after="60"/>
            </w:pPr>
            <w:r>
              <w:rPr>
                <w:rFonts w:ascii="Open Sans" w:hAnsi="Open Sans"/>
                <w:b w:val="0"/>
                <w:color w:val="1A1A2E"/>
                <w:sz w:val="20"/>
              </w:rPr>
              <w:t>NVIDIA L4 — 24 GB GDDR6, 72W TDP, PCIe Gen4 (AI inference / video encoding)</w:t>
            </w:r>
          </w:p>
        </w:tc>
      </w:tr>
      <w:tr>
        <w:trPr>
          <w:cantSplit/>
        </w:trPr>
        <w:tc>
          <w:tcPr>
            <w:shd w:fill="F8F9FA" w:val="clear"/>
            <w:tcW w:w="3168" w:type="dxa"/>
          </w:tcPr>
          <w:p>
            <w:pPr>
              <w:spacing w:before="60" w:after="60"/>
            </w:pPr>
            <w:r>
              <w:rPr>
                <w:rFonts w:ascii="Open Sans" w:hAnsi="Open Sans"/>
                <w:b/>
                <w:color w:val="1A1A2E"/>
                <w:sz w:val="20"/>
              </w:rPr>
              <w:t>Boot Storage</w:t>
            </w:r>
          </w:p>
        </w:tc>
        <w:tc>
          <w:tcPr>
            <w:tcW w:w="7056" w:type="dxa"/>
          </w:tcPr>
          <w:p>
            <w:pPr>
              <w:spacing w:before="60" w:after="60"/>
            </w:pPr>
            <w:r>
              <w:rPr>
                <w:rFonts w:ascii="Open Sans" w:hAnsi="Open Sans"/>
                <w:b w:val="0"/>
                <w:color w:val="1A1A2E"/>
                <w:sz w:val="20"/>
              </w:rPr>
              <w:t>2x 480 GB M.2 PCIe NVMe Gen4 SSD (BOSS-N1 RAID 1)</w:t>
            </w:r>
          </w:p>
        </w:tc>
      </w:tr>
      <w:tr>
        <w:trPr>
          <w:cantSplit/>
        </w:trPr>
        <w:tc>
          <w:tcPr>
            <w:shd w:fill="F8F9FA" w:val="clear"/>
            <w:tcW w:w="3168" w:type="dxa"/>
          </w:tcPr>
          <w:p>
            <w:pPr>
              <w:spacing w:before="60" w:after="60"/>
            </w:pPr>
            <w:r>
              <w:rPr>
                <w:rFonts w:ascii="Open Sans" w:hAnsi="Open Sans"/>
                <w:b/>
                <w:color w:val="1A1A2E"/>
                <w:sz w:val="20"/>
              </w:rPr>
              <w:t>Data Storage</w:t>
            </w:r>
          </w:p>
        </w:tc>
        <w:tc>
          <w:tcPr>
            <w:tcW w:w="7056" w:type="dxa"/>
          </w:tcPr>
          <w:p>
            <w:pPr>
              <w:spacing w:before="60" w:after="60"/>
            </w:pPr>
            <w:r>
              <w:rPr>
                <w:rFonts w:ascii="Open Sans" w:hAnsi="Open Sans"/>
                <w:b w:val="0"/>
                <w:color w:val="1A1A2E"/>
                <w:sz w:val="20"/>
              </w:rPr>
              <w:t>2x 3.84 TB PCIe U.2 NVMe Gen4 SSD (direct-attached)</w:t>
            </w:r>
          </w:p>
        </w:tc>
      </w:tr>
      <w:tr>
        <w:trPr>
          <w:cantSplit/>
        </w:trPr>
        <w:tc>
          <w:tcPr>
            <w:shd w:fill="F8F9FA" w:val="clear"/>
            <w:tcW w:w="3168" w:type="dxa"/>
          </w:tcPr>
          <w:p>
            <w:pPr>
              <w:spacing w:before="60" w:after="60"/>
            </w:pPr>
            <w:r>
              <w:rPr>
                <w:rFonts w:ascii="Open Sans" w:hAnsi="Open Sans"/>
                <w:b/>
                <w:color w:val="1A1A2E"/>
                <w:sz w:val="20"/>
              </w:rPr>
              <w:t>Total Raw Storage</w:t>
            </w:r>
          </w:p>
        </w:tc>
        <w:tc>
          <w:tcPr>
            <w:tcW w:w="7056" w:type="dxa"/>
          </w:tcPr>
          <w:p>
            <w:pPr>
              <w:spacing w:before="60" w:after="60"/>
            </w:pPr>
            <w:r>
              <w:rPr>
                <w:rFonts w:ascii="Open Sans" w:hAnsi="Open Sans"/>
                <w:b w:val="0"/>
                <w:color w:val="1A1A2E"/>
                <w:sz w:val="20"/>
              </w:rPr>
              <w:t>8.64 TB NVMe flash</w:t>
            </w:r>
          </w:p>
        </w:tc>
      </w:tr>
      <w:tr>
        <w:trPr>
          <w:cantSplit/>
        </w:trPr>
        <w:tc>
          <w:tcPr>
            <w:shd w:fill="F8F9FA" w:val="clear"/>
            <w:tcW w:w="3168" w:type="dxa"/>
          </w:tcPr>
          <w:p>
            <w:pPr>
              <w:spacing w:before="60" w:after="60"/>
            </w:pPr>
            <w:r>
              <w:rPr>
                <w:rFonts w:ascii="Open Sans" w:hAnsi="Open Sans"/>
                <w:b/>
                <w:color w:val="1A1A2E"/>
                <w:sz w:val="20"/>
              </w:rPr>
              <w:t>Networking — OCP</w:t>
            </w:r>
          </w:p>
        </w:tc>
        <w:tc>
          <w:tcPr>
            <w:tcW w:w="7056" w:type="dxa"/>
          </w:tcPr>
          <w:p>
            <w:pPr>
              <w:spacing w:before="60" w:after="60"/>
            </w:pPr>
            <w:r>
              <w:rPr>
                <w:rFonts w:ascii="Open Sans" w:hAnsi="Open Sans"/>
                <w:b w:val="0"/>
                <w:color w:val="1A1A2E"/>
                <w:sz w:val="20"/>
              </w:rPr>
              <w:t>Intel X710-T4L Quad Port 10GbE BASE-T OCP NIC 3.0</w:t>
            </w:r>
          </w:p>
        </w:tc>
      </w:tr>
      <w:tr>
        <w:trPr>
          <w:cantSplit/>
        </w:trPr>
        <w:tc>
          <w:tcPr>
            <w:shd w:fill="F8F9FA" w:val="clear"/>
            <w:tcW w:w="3168" w:type="dxa"/>
          </w:tcPr>
          <w:p>
            <w:pPr>
              <w:spacing w:before="60" w:after="60"/>
            </w:pPr>
            <w:r>
              <w:rPr>
                <w:rFonts w:ascii="Open Sans" w:hAnsi="Open Sans"/>
                <w:b/>
                <w:color w:val="1A1A2E"/>
                <w:sz w:val="20"/>
              </w:rPr>
              <w:t>Power</w:t>
            </w:r>
          </w:p>
        </w:tc>
        <w:tc>
          <w:tcPr>
            <w:tcW w:w="7056" w:type="dxa"/>
          </w:tcPr>
          <w:p>
            <w:pPr>
              <w:spacing w:before="60" w:after="60"/>
            </w:pPr>
            <w:r>
              <w:rPr>
                <w:rFonts w:ascii="Open Sans" w:hAnsi="Open Sans"/>
                <w:b w:val="0"/>
                <w:color w:val="1A1A2E"/>
                <w:sz w:val="20"/>
              </w:rPr>
              <w:t>2x 1800W Dual Hot-Plug Redundant Titanium PSU (1+1), 200-240V</w:t>
            </w:r>
          </w:p>
        </w:tc>
      </w:tr>
      <w:tr>
        <w:trPr>
          <w:cantSplit/>
        </w:trPr>
        <w:tc>
          <w:tcPr>
            <w:shd w:fill="F8F9FA" w:val="clear"/>
            <w:tcW w:w="3168" w:type="dxa"/>
          </w:tcPr>
          <w:p>
            <w:pPr>
              <w:spacing w:before="60" w:after="60"/>
            </w:pPr>
            <w:r>
              <w:rPr>
                <w:rFonts w:ascii="Open Sans" w:hAnsi="Open Sans"/>
                <w:b/>
                <w:color w:val="1A1A2E"/>
                <w:sz w:val="20"/>
              </w:rPr>
              <w:t>Remote Management</w:t>
            </w:r>
          </w:p>
        </w:tc>
        <w:tc>
          <w:tcPr>
            <w:tcW w:w="7056" w:type="dxa"/>
          </w:tcPr>
          <w:p>
            <w:pPr>
              <w:spacing w:before="60" w:after="60"/>
            </w:pPr>
            <w:r>
              <w:rPr>
                <w:rFonts w:ascii="Open Sans" w:hAnsi="Open Sans"/>
                <w:b w:val="0"/>
                <w:color w:val="1A1A2E"/>
                <w:sz w:val="20"/>
              </w:rPr>
              <w:t>iDRAC9 Basic (Enterprise upgrade available separately)</w:t>
            </w:r>
          </w:p>
        </w:tc>
      </w:tr>
      <w:tr>
        <w:trPr>
          <w:cantSplit/>
        </w:trPr>
        <w:tc>
          <w:tcPr>
            <w:shd w:fill="F8F9FA" w:val="clear"/>
            <w:tcW w:w="3168" w:type="dxa"/>
          </w:tcPr>
          <w:p>
            <w:pPr>
              <w:spacing w:before="60" w:after="60"/>
            </w:pPr>
            <w:r>
              <w:rPr>
                <w:rFonts w:ascii="Open Sans" w:hAnsi="Open Sans"/>
                <w:b/>
                <w:color w:val="1A1A2E"/>
                <w:sz w:val="20"/>
              </w:rPr>
              <w:t>Security</w:t>
            </w:r>
          </w:p>
        </w:tc>
        <w:tc>
          <w:tcPr>
            <w:tcW w:w="7056" w:type="dxa"/>
          </w:tcPr>
          <w:p>
            <w:pPr>
              <w:spacing w:before="60" w:after="60"/>
            </w:pPr>
            <w:r>
              <w:rPr>
                <w:rFonts w:ascii="Open Sans" w:hAnsi="Open Sans"/>
                <w:b w:val="0"/>
                <w:color w:val="1A1A2E"/>
                <w:sz w:val="20"/>
              </w:rPr>
              <w:t>TPM 2.0</w:t>
            </w:r>
          </w:p>
        </w:tc>
      </w:tr>
      <w:tr>
        <w:trPr>
          <w:cantSplit/>
        </w:trPr>
        <w:tc>
          <w:tcPr>
            <w:shd w:fill="F8F9FA" w:val="clear"/>
            <w:tcW w:w="3168" w:type="dxa"/>
          </w:tcPr>
          <w:p>
            <w:pPr>
              <w:spacing w:before="60" w:after="60"/>
            </w:pPr>
            <w:r>
              <w:rPr>
                <w:rFonts w:ascii="Open Sans" w:hAnsi="Open Sans"/>
                <w:b/>
                <w:color w:val="1A1A2E"/>
                <w:sz w:val="20"/>
              </w:rPr>
              <w:t>Form Factor</w:t>
            </w:r>
          </w:p>
        </w:tc>
        <w:tc>
          <w:tcPr>
            <w:tcW w:w="7056" w:type="dxa"/>
          </w:tcPr>
          <w:p>
            <w:pPr>
              <w:spacing w:before="60" w:after="60"/>
            </w:pPr>
            <w:r>
              <w:rPr>
                <w:rFonts w:ascii="Open Sans" w:hAnsi="Open Sans"/>
                <w:b w:val="0"/>
                <w:color w:val="1A1A2E"/>
                <w:sz w:val="20"/>
              </w:rPr>
              <w:t>Rugged short-depth chassis, rear-port access, up to 4 NVMe direct, 5 PCIe slots</w:t>
            </w:r>
          </w:p>
        </w:tc>
      </w:tr>
      <w:tr>
        <w:trPr>
          <w:cantSplit/>
        </w:trPr>
        <w:tc>
          <w:tcPr>
            <w:shd w:fill="F8F9FA" w:val="clear"/>
            <w:tcW w:w="3168" w:type="dxa"/>
          </w:tcPr>
          <w:p>
            <w:pPr>
              <w:spacing w:before="60" w:after="60"/>
            </w:pPr>
            <w:r>
              <w:rPr>
                <w:rFonts w:ascii="Open Sans" w:hAnsi="Open Sans"/>
                <w:b/>
                <w:color w:val="1A1A2E"/>
                <w:sz w:val="20"/>
              </w:rPr>
              <w:t>Rails</w:t>
            </w:r>
          </w:p>
        </w:tc>
        <w:tc>
          <w:tcPr>
            <w:tcW w:w="7056" w:type="dxa"/>
          </w:tcPr>
          <w:p>
            <w:pPr>
              <w:spacing w:before="60" w:after="60"/>
            </w:pPr>
            <w:r>
              <w:rPr>
                <w:rFonts w:ascii="Open Sans" w:hAnsi="Open Sans"/>
                <w:b w:val="0"/>
                <w:color w:val="1A1A2E"/>
                <w:sz w:val="20"/>
              </w:rPr>
              <w:t>1U Rack Rails with Cable Management Arm</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Next-Business-Day On-Site Service</w:t>
            </w:r>
          </w:p>
        </w:tc>
      </w:tr>
    </w:tbl>
    <w:p/>
    <w:p>
      <w:pPr>
        <w:spacing w:before="240" w:after="120"/>
      </w:pPr>
      <w:r>
        <w:rPr>
          <w:rFonts w:ascii="Open Sans" w:hAnsi="Open Sans"/>
          <w:b/>
          <w:color w:val="F67D4B"/>
          <w:sz w:val="32"/>
        </w:rPr>
        <w:t>Your Investment</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2880"/>
        <w:gridCol w:w="5040"/>
        <w:gridCol w:w="2304"/>
      </w:tblGrid>
      <w:tr>
        <w:trPr>
          <w:cantSplit/>
        </w:trPr>
        <w:tc>
          <w:tcPr>
            <w:tcW w:w="2880" w:type="dxa"/>
            <w:shd w:fill="006DB6" w:val="clear"/>
          </w:tcPr>
          <w:p>
            <w:pPr>
              <w:spacing w:before="80" w:after="80"/>
            </w:pPr>
            <w:r>
              <w:rPr>
                <w:rFonts w:ascii="Open Sans" w:hAnsi="Open Sans"/>
                <w:b/>
                <w:color w:val="FFFFFF"/>
                <w:sz w:val="20"/>
              </w:rPr>
              <w:t>Item</w:t>
            </w:r>
          </w:p>
        </w:tc>
        <w:tc>
          <w:tcPr>
            <w:tcW w:w="5040" w:type="dxa"/>
            <w:shd w:fill="006DB6" w:val="clear"/>
          </w:tcPr>
          <w:p>
            <w:pPr>
              <w:spacing w:before="80" w:after="80"/>
            </w:pPr>
            <w:r>
              <w:rPr>
                <w:rFonts w:ascii="Open Sans" w:hAnsi="Open Sans"/>
                <w:b/>
                <w:color w:val="FFFFFF"/>
                <w:sz w:val="20"/>
              </w:rPr>
              <w:t>Description</w:t>
            </w:r>
          </w:p>
        </w:tc>
        <w:tc>
          <w:tcPr>
            <w:tcW w:w="2304" w:type="dxa"/>
            <w:shd w:fill="006DB6" w:val="clear"/>
          </w:tcPr>
          <w:p>
            <w:pPr>
              <w:spacing w:before="80" w:after="80"/>
              <w:jc w:val="right"/>
            </w:pPr>
            <w:r>
              <w:rPr>
                <w:rFonts w:ascii="Open Sans" w:hAnsi="Open Sans"/>
                <w:b/>
                <w:color w:val="FFFFFF"/>
                <w:sz w:val="20"/>
              </w:rPr>
              <w:t>Investment</w:t>
            </w:r>
          </w:p>
        </w:tc>
      </w:tr>
      <w:tr>
        <w:trPr>
          <w:cantSplit/>
        </w:trPr>
        <w:tc>
          <w:tcPr>
            <w:tcW w:w="2880" w:type="dxa"/>
            <w:shd w:fill="F8F9FA" w:val="clear"/>
          </w:tcPr>
          <w:p>
            <w:pPr>
              <w:spacing w:before="60" w:after="60"/>
            </w:pPr>
            <w:r>
              <w:rPr>
                <w:rFonts w:ascii="Open Sans" w:hAnsi="Open Sans"/>
                <w:b/>
                <w:color w:val="1A1A2E"/>
                <w:sz w:val="20"/>
              </w:rPr>
              <w:t>PowerEdge XR7620</w:t>
            </w:r>
          </w:p>
        </w:tc>
        <w:tc>
          <w:tcPr>
            <w:tcW w:w="5040" w:type="dxa"/>
          </w:tcPr>
          <w:p>
            <w:pPr>
              <w:spacing w:before="60" w:after="60"/>
            </w:pPr>
            <w:r>
              <w:rPr>
                <w:rFonts w:ascii="Open Sans" w:hAnsi="Open Sans"/>
                <w:b w:val="0"/>
                <w:color w:val="1A1A2E"/>
                <w:sz w:val="20"/>
              </w:rPr>
              <w:t>Dual Xeon Gold 6426Y, 256GB DDR5, NVIDIA L4 GPU, 8.64TB NVMe, 5yr ProSupport</w:t>
            </w:r>
          </w:p>
        </w:tc>
        <w:tc>
          <w:tcPr>
            <w:tcW w:w="2304" w:type="dxa"/>
          </w:tcPr>
          <w:p>
            <w:pPr>
              <w:spacing w:before="60" w:after="60"/>
              <w:jc w:val="right"/>
            </w:pPr>
            <w:r>
              <w:rPr>
                <w:rFonts w:ascii="Open Sans" w:hAnsi="Open Sans"/>
                <w:b w:val="0"/>
                <w:color w:val="1A1A2E"/>
                <w:sz w:val="20"/>
              </w:rPr>
              <w:t>$28,246.94</w:t>
            </w:r>
          </w:p>
        </w:tc>
      </w:tr>
      <w:tr>
        <w:trPr>
          <w:cantSplit/>
        </w:trPr>
        <w:tc>
          <w:tcPr>
            <w:tcW w:w="2880" w:type="dxa"/>
            <w:shd w:fill="1A1A2E" w:val="clear"/>
          </w:tcPr>
          <w:p>
            <w:pPr>
              <w:spacing w:before="80" w:after="80"/>
            </w:pPr>
            <w:r>
              <w:rPr>
                <w:rFonts w:ascii="Open Sans" w:hAnsi="Open Sans"/>
                <w:b/>
                <w:color w:val="FFFFFF"/>
                <w:sz w:val="22"/>
              </w:rPr>
              <w:t>Total Investment</w:t>
            </w:r>
          </w:p>
        </w:tc>
        <w:tc>
          <w:tcPr>
            <w:tcW w:w="5040" w:type="dxa"/>
            <w:shd w:fill="1A1A2E" w:val="clear"/>
          </w:tcPr>
          <w:p>
            <w:pPr>
              <w:spacing w:before="80" w:after="80"/>
            </w:pPr>
          </w:p>
        </w:tc>
        <w:tc>
          <w:tcPr>
            <w:tcW w:w="2304" w:type="dxa"/>
            <w:shd w:fill="1A1A2E" w:val="clear"/>
          </w:tcPr>
          <w:p>
            <w:pPr>
              <w:spacing w:before="80" w:after="80"/>
              <w:jc w:val="right"/>
            </w:pPr>
            <w:r>
              <w:rPr>
                <w:rFonts w:ascii="Open Sans" w:hAnsi="Open Sans"/>
                <w:b/>
                <w:color w:val="FFFFFF"/>
                <w:sz w:val="24"/>
              </w:rPr>
              <w:t>$28,246.94</w:t>
            </w:r>
          </w:p>
        </w:tc>
      </w:tr>
    </w:tbl>
    <w:p/>
    <w:p>
      <w:pPr>
        <w:spacing w:before="240" w:after="120"/>
      </w:pPr>
      <w:r>
        <w:rPr>
          <w:rFonts w:ascii="Open Sans" w:hAnsi="Open Sans"/>
          <w:b/>
          <w:color w:val="006DB6"/>
          <w:sz w:val="28"/>
        </w:rPr>
        <w:t>Included With Your Equipment</w:t>
      </w:r>
    </w:p>
    <w:p>
      <w:pPr>
        <w:pStyle w:val="ListBullet"/>
        <w:spacing w:after="40"/>
      </w:pPr>
      <w:r>
        <w:rPr>
          <w:rFonts w:ascii="Open Sans" w:hAnsi="Open Sans"/>
          <w:b w:val="0"/>
          <w:color w:val="1A1A2E"/>
          <w:sz w:val="20"/>
        </w:rPr>
        <w:t>Technijian procurement and order management</w:t>
      </w:r>
    </w:p>
    <w:p>
      <w:pPr>
        <w:pStyle w:val="ListBullet"/>
        <w:spacing w:after="40"/>
      </w:pPr>
      <w:r>
        <w:rPr>
          <w:rFonts w:ascii="Open Sans" w:hAnsi="Open Sans"/>
          <w:b w:val="0"/>
          <w:color w:val="1A1A2E"/>
          <w:sz w:val="20"/>
        </w:rPr>
        <w:t>Pre-delivery configuration validation and burn-in testing</w:t>
      </w:r>
    </w:p>
    <w:p>
      <w:pPr>
        <w:pStyle w:val="ListBullet"/>
        <w:spacing w:after="40"/>
      </w:pPr>
      <w:r>
        <w:rPr>
          <w:rFonts w:ascii="Open Sans" w:hAnsi="Open Sans"/>
          <w:b w:val="0"/>
          <w:color w:val="1A1A2E"/>
          <w:sz w:val="20"/>
        </w:rPr>
        <w:t>BIOS, firmware, and iDRAC configuration to Technijian standards</w:t>
      </w:r>
    </w:p>
    <w:p>
      <w:pPr>
        <w:pStyle w:val="ListBullet"/>
        <w:spacing w:after="40"/>
      </w:pPr>
      <w:r>
        <w:rPr>
          <w:rFonts w:ascii="Open Sans" w:hAnsi="Open Sans"/>
          <w:b w:val="0"/>
          <w:color w:val="1A1A2E"/>
          <w:sz w:val="20"/>
        </w:rPr>
        <w:t>Asset tagging, documentation, and inventory registration</w:t>
      </w:r>
    </w:p>
    <w:p>
      <w:pPr>
        <w:pStyle w:val="ListBullet"/>
        <w:spacing w:after="40"/>
      </w:pPr>
      <w:r>
        <w:rPr>
          <w:rFonts w:ascii="Open Sans" w:hAnsi="Open Sans"/>
          <w:b w:val="0"/>
          <w:color w:val="1A1A2E"/>
          <w:sz w:val="20"/>
        </w:rPr>
        <w:t>Standard ground freight and delivery coordination</w:t>
      </w:r>
    </w:p>
    <w:p>
      <w:pPr>
        <w:pStyle w:val="ListBullet"/>
        <w:spacing w:after="40"/>
      </w:pPr>
      <w:r>
        <w:rPr>
          <w:rFonts w:ascii="Open Sans" w:hAnsi="Open Sans"/>
          <w:b w:val="0"/>
          <w:color w:val="1A1A2E"/>
          <w:sz w:val="20"/>
        </w:rPr>
        <w:t>Warranty claims coordination for the full 5-year ProSupport term</w:t>
      </w:r>
    </w:p>
    <w:p>
      <w:pPr>
        <w:spacing w:before="240" w:after="120"/>
      </w:pPr>
      <w:r>
        <w:rPr>
          <w:rFonts w:ascii="Open Sans" w:hAnsi="Open Sans"/>
          <w:b/>
          <w:color w:val="006DB6"/>
          <w:sz w:val="28"/>
        </w:rPr>
        <w:t>Services Quoted Separately</w:t>
      </w:r>
    </w:p>
    <w:p>
      <w:pPr>
        <w:pStyle w:val="ListBullet"/>
        <w:spacing w:after="40"/>
      </w:pPr>
      <w:r>
        <w:rPr>
          <w:rFonts w:ascii="Open Sans" w:hAnsi="Open Sans"/>
          <w:b w:val="0"/>
          <w:color w:val="1A1A2E"/>
          <w:sz w:val="20"/>
        </w:rPr>
        <w:t>On-site installation, rack-and-stack, cabling, and physical cutover</w:t>
      </w:r>
    </w:p>
    <w:p>
      <w:pPr>
        <w:pStyle w:val="ListBullet"/>
        <w:spacing w:after="40"/>
      </w:pPr>
      <w:r>
        <w:rPr>
          <w:rFonts w:ascii="Open Sans" w:hAnsi="Open Sans"/>
          <w:b w:val="0"/>
          <w:color w:val="1A1A2E"/>
          <w:sz w:val="20"/>
        </w:rPr>
        <w:t>Operating system and hypervisor licensing</w:t>
      </w:r>
    </w:p>
    <w:p>
      <w:pPr>
        <w:pStyle w:val="ListBullet"/>
        <w:spacing w:after="40"/>
      </w:pPr>
      <w:r>
        <w:rPr>
          <w:rFonts w:ascii="Open Sans" w:hAnsi="Open Sans"/>
          <w:b w:val="0"/>
          <w:color w:val="1A1A2E"/>
          <w:sz w:val="20"/>
        </w:rPr>
        <w:t>Data migration from existing servers to new hardware</w:t>
      </w:r>
    </w:p>
    <w:p>
      <w:pPr>
        <w:pStyle w:val="ListBullet"/>
        <w:spacing w:after="40"/>
      </w:pPr>
      <w:r>
        <w:rPr>
          <w:rFonts w:ascii="Open Sans" w:hAnsi="Open Sans"/>
          <w:b w:val="0"/>
          <w:color w:val="1A1A2E"/>
          <w:sz w:val="20"/>
        </w:rPr>
        <w:t>Application re-installation or re-licensing</w:t>
      </w:r>
    </w:p>
    <w:p>
      <w:pPr>
        <w:spacing w:before="240" w:after="120"/>
      </w:pPr>
      <w:r>
        <w:rPr>
          <w:rFonts w:ascii="Open Sans" w:hAnsi="Open Sans"/>
          <w:b/>
          <w:color w:val="006DB6"/>
          <w:sz w:val="28"/>
        </w:rPr>
        <w:t>Terms &amp; Conditions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Equipment Condition</w:t>
            </w:r>
          </w:p>
        </w:tc>
        <w:tc>
          <w:tcPr>
            <w:tcW w:w="7056" w:type="dxa"/>
          </w:tcPr>
          <w:p>
            <w:pPr>
              <w:spacing w:before="60" w:after="60"/>
            </w:pPr>
            <w:r>
              <w:rPr>
                <w:rFonts w:ascii="Open Sans" w:hAnsi="Open Sans"/>
                <w:b w:val="0"/>
                <w:color w:val="1A1A2E"/>
                <w:sz w:val="20"/>
              </w:rPr>
              <w:t>Dell Outlet — Certified Refurbished with Dell factory warranty</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with Next-Business-Day On-Site Service</w:t>
            </w:r>
          </w:p>
        </w:tc>
      </w:tr>
      <w:tr>
        <w:trPr>
          <w:cantSplit/>
        </w:trPr>
        <w:tc>
          <w:tcPr>
            <w:shd w:fill="F8F9FA" w:val="clear"/>
            <w:tcW w:w="3168" w:type="dxa"/>
          </w:tcPr>
          <w:p>
            <w:pPr>
              <w:spacing w:before="60" w:after="60"/>
            </w:pPr>
            <w:r>
              <w:rPr>
                <w:rFonts w:ascii="Open Sans" w:hAnsi="Open Sans"/>
                <w:b/>
                <w:color w:val="1A1A2E"/>
                <w:sz w:val="20"/>
              </w:rPr>
              <w:t>Delivery</w:t>
            </w:r>
          </w:p>
        </w:tc>
        <w:tc>
          <w:tcPr>
            <w:tcW w:w="7056" w:type="dxa"/>
          </w:tcPr>
          <w:p>
            <w:pPr>
              <w:spacing w:before="60" w:after="60"/>
            </w:pPr>
            <w:r>
              <w:rPr>
                <w:rFonts w:ascii="Open Sans" w:hAnsi="Open Sans"/>
                <w:b w:val="0"/>
                <w:color w:val="1A1A2E"/>
                <w:sz w:val="20"/>
              </w:rPr>
              <w:t>Estimated delivery within 7-10 business days of purchase order</w:t>
            </w:r>
          </w:p>
        </w:tc>
      </w:tr>
      <w:tr>
        <w:trPr>
          <w:cantSplit/>
        </w:trPr>
        <w:tc>
          <w:tcPr>
            <w:shd w:fill="F8F9FA" w:val="clear"/>
            <w:tcW w:w="3168" w:type="dxa"/>
          </w:tcPr>
          <w:p>
            <w:pPr>
              <w:spacing w:before="60" w:after="60"/>
            </w:pPr>
            <w:r>
              <w:rPr>
                <w:rFonts w:ascii="Open Sans" w:hAnsi="Open Sans"/>
                <w:b/>
                <w:color w:val="1A1A2E"/>
                <w:sz w:val="20"/>
              </w:rPr>
              <w:t>Freight</w:t>
            </w:r>
          </w:p>
        </w:tc>
        <w:tc>
          <w:tcPr>
            <w:tcW w:w="7056" w:type="dxa"/>
          </w:tcPr>
          <w:p>
            <w:pPr>
              <w:spacing w:before="60" w:after="60"/>
            </w:pPr>
            <w:r>
              <w:rPr>
                <w:rFonts w:ascii="Open Sans" w:hAnsi="Open Sans"/>
                <w:b w:val="0"/>
                <w:color w:val="1A1A2E"/>
                <w:sz w:val="20"/>
              </w:rPr>
              <w:t>Standard ground shipping included</w:t>
            </w:r>
          </w:p>
        </w:tc>
      </w:tr>
      <w:tr>
        <w:trPr>
          <w:cantSplit/>
        </w:trPr>
        <w:tc>
          <w:tcPr>
            <w:shd w:fill="F8F9FA" w:val="clear"/>
            <w:tcW w:w="3168" w:type="dxa"/>
          </w:tcPr>
          <w:p>
            <w:pPr>
              <w:spacing w:before="60" w:after="60"/>
            </w:pPr>
            <w:r>
              <w:rPr>
                <w:rFonts w:ascii="Open Sans" w:hAnsi="Open Sans"/>
                <w:b/>
                <w:color w:val="1A1A2E"/>
                <w:sz w:val="20"/>
              </w:rPr>
              <w:t>Payment Terms</w:t>
            </w:r>
          </w:p>
        </w:tc>
        <w:tc>
          <w:tcPr>
            <w:tcW w:w="7056" w:type="dxa"/>
          </w:tcPr>
          <w:p>
            <w:pPr>
              <w:spacing w:before="60" w:after="60"/>
            </w:pPr>
            <w:r>
              <w:rPr>
                <w:rFonts w:ascii="Open Sans" w:hAnsi="Open Sans"/>
                <w:b w:val="0"/>
                <w:color w:val="1A1A2E"/>
                <w:sz w:val="20"/>
              </w:rPr>
              <w:t>50% at purchase order, 50% on delivery</w:t>
            </w:r>
          </w:p>
        </w:tc>
      </w:tr>
      <w:tr>
        <w:trPr>
          <w:cantSplit/>
        </w:trPr>
        <w:tc>
          <w:tcPr>
            <w:shd w:fill="F8F9FA" w:val="clear"/>
            <w:tcW w:w="3168" w:type="dxa"/>
          </w:tcPr>
          <w:p>
            <w:pPr>
              <w:spacing w:before="60" w:after="60"/>
            </w:pPr>
            <w:r>
              <w:rPr>
                <w:rFonts w:ascii="Open Sans" w:hAnsi="Open Sans"/>
                <w:b/>
                <w:color w:val="1A1A2E"/>
                <w:sz w:val="20"/>
              </w:rPr>
              <w:t>Validity</w:t>
            </w:r>
          </w:p>
        </w:tc>
        <w:tc>
          <w:tcPr>
            <w:tcW w:w="7056" w:type="dxa"/>
          </w:tcPr>
          <w:p>
            <w:pPr>
              <w:spacing w:before="60" w:after="60"/>
            </w:pPr>
            <w:r>
              <w:rPr>
                <w:rFonts w:ascii="Open Sans" w:hAnsi="Open Sans"/>
                <w:b w:val="0"/>
                <w:color w:val="1A1A2E"/>
                <w:sz w:val="20"/>
              </w:rPr>
              <w:t>This quote is valid for 14 days from the date above</w:t>
            </w:r>
          </w:p>
        </w:tc>
      </w:tr>
    </w:tbl>
    <w:p/>
    <w:p/>
    <w:p>
      <w:pPr>
        <w:spacing w:after="120"/>
      </w:pPr>
      <w:r>
        <w:rPr>
          <w:rFonts w:ascii="Open Sans" w:hAnsi="Open Sans"/>
          <w:b w:val="0"/>
          <w:color w:val="1A1A2E"/>
          <w:sz w:val="20"/>
        </w:rPr>
        <w:t>To proceed, reply to this quote with your approval and Technijian will place the order with Dell immediately. If you have questions or would like to discuss, please use the booking link in my email signature.</w:t>
      </w:r>
    </w:p>
    <w:p/>
    <w:p>
      <w:pPr>
        <w:spacing w:after="120"/>
      </w:pPr>
      <w:r>
        <w:rPr>
          <w:rFonts w:ascii="Open Sans" w:hAnsi="Open Sans"/>
          <w:b w:val="0"/>
          <w:color w:val="1A1A2E"/>
          <w:sz w:val="20"/>
        </w:rPr>
        <w:t>Respectfully submitted,</w:t>
      </w:r>
    </w:p>
    <w:p>
      <w:pPr>
        <w:spacing w:after="120"/>
      </w:pPr>
      <w:r>
        <w:rPr>
          <w:rFonts w:ascii="Open Sans" w:hAnsi="Open Sans"/>
          <w:b/>
          <w:color w:val="006DB6"/>
          <w:sz w:val="22"/>
        </w:rPr>
        <w:t>Ravi Jain</w:t>
      </w:r>
    </w:p>
    <w:p>
      <w:pPr>
        <w:spacing w:after="120"/>
      </w:pPr>
      <w:r>
        <w:rPr>
          <w:rFonts w:ascii="Open Sans" w:hAnsi="Open Sans"/>
          <w:b w:val="0"/>
          <w:color w:val="59595B"/>
          <w:sz w:val="20"/>
        </w:rPr>
        <w:t>Chief Executive Officer</w:t>
      </w:r>
    </w:p>
    <w:p>
      <w:pPr>
        <w:spacing w:after="120"/>
      </w:pPr>
      <w:r>
        <w:rPr>
          <w:rFonts w:ascii="Open Sans" w:hAnsi="Open Sans"/>
          <w:b w:val="0"/>
          <w:color w:val="59595B"/>
          <w:sz w:val="20"/>
        </w:rPr>
        <w:t>Technijian, Inc.  |  rjain@technijian.com</w:t>
      </w:r>
    </w:p>
    <w:p/>
    <w:tbl>
      <w:tblPr>
        <w:tblLook w:firstColumn="1" w:firstRow="1" w:lastColumn="0" w:lastRow="0" w:noHBand="0" w:noVBand="1" w:val="04A0"/>
        <w:tblLayout w:type="fixed"/>
        <w:tblW w:w="10224" w:type="dxa"/>
      </w:tblPr>
      <w:tblGrid>
        <w:gridCol w:w="10224"/>
      </w:tblGrid>
      <w:tr>
        <w:trPr>
          <w:cantSplit/>
        </w:trPr>
        <w:tc>
          <w:tcPr>
            <w:shd w:fill="F8F9FA" w:val="clear"/>
            <w:tcW w:w="10224" w:type="dxa"/>
          </w:tcPr>
          <w:p>
            <w:pPr>
              <w:spacing w:before="160" w:after="160"/>
            </w:pPr>
            <w:r>
              <w:rPr>
                <w:rFonts w:ascii="Open Sans" w:hAnsi="Open Sans"/>
                <w:b w:val="0"/>
                <w:color w:val="59595B"/>
                <w:sz w:val="18"/>
              </w:rPr>
              <w:t>Technijian, Inc.  |  18 Technology Drive, Suite 141, Irvine, CA 92618  |  technijian.com  |  This quote is confidential and prepared exclusively for Oaktree Law.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