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645920" cy="342900"/>
            <wp:docPr id="1" name="Picture 1"/>
            <wp:cNvGraphicFramePr>
              <a:graphicFrameLocks noChangeAspect="1"/>
            </wp:cNvGraphicFramePr>
            <a:graphic>
              <a:graphicData uri="http://schemas.openxmlformats.org/drawingml/2006/picture">
                <pic:pic>
                  <pic:nvPicPr>
                    <pic:cNvPr id="0" name="technijian-logo.png"/>
                    <pic:cNvPicPr/>
                  </pic:nvPicPr>
                  <pic:blipFill>
                    <a:blip r:embed="rId9"/>
                    <a:stretch>
                      <a:fillRect/>
                    </a:stretch>
                  </pic:blipFill>
                  <pic:spPr>
                    <a:xfrm>
                      <a:off x="0" y="0"/>
                      <a:ext cx="1645920" cy="342900"/>
                    </a:xfrm>
                    <a:prstGeom prst="rect"/>
                  </pic:spPr>
                </pic:pic>
              </a:graphicData>
            </a:graphic>
          </wp:inline>
        </w:drawing>
      </w:r>
    </w:p>
    <w:tbl>
      <w:tblPr>
        <w:tblLook w:firstColumn="1" w:firstRow="1" w:lastColumn="0" w:lastRow="0" w:noHBand="0" w:noVBand="1" w:val="04A0"/>
        <w:tblBorders>
          <w:top w:val="none" w:sz="0" w:space="0" w:color="auto"/>
          <w:left w:val="none" w:sz="0" w:space="0" w:color="auto"/>
          <w:bottom w:val="none" w:sz="0" w:space="0" w:color="auto"/>
          <w:right w:val="none" w:sz="0" w:space="0" w:color="auto"/>
        </w:tblBorders>
        <w:tblLayout w:type="fixed"/>
        <w:tblW w:w="10224" w:type="dxa"/>
      </w:tblPr>
      <w:tblGrid>
        <w:gridCol w:w="10224"/>
      </w:tblGrid>
      <w:tr>
        <w:trPr>
          <w:cantSplit/>
        </w:trPr>
        <w:tc>
          <w:tcPr>
            <w:shd w:fill="1A1A2E" w:val="clear"/>
            <w:tcW w:w="10224" w:type="dxa"/>
          </w:tcPr>
          <w:p>
            <w:pPr>
              <w:spacing w:before="400" w:after="120"/>
            </w:pPr>
            <w:r>
              <w:rPr>
                <w:rFonts w:ascii="Open Sans" w:hAnsi="Open Sans"/>
                <w:b/>
                <w:color w:val="FFFFFF"/>
                <w:sz w:val="48"/>
              </w:rPr>
              <w:t>Server Replacement Proposal</w:t>
            </w:r>
          </w:p>
          <w:p>
            <w:pPr>
              <w:spacing w:after="400"/>
            </w:pPr>
            <w:r>
              <w:rPr>
                <w:rFonts w:ascii="Open Sans" w:hAnsi="Open Sans"/>
                <w:b w:val="0"/>
                <w:color w:val="CCCCCC"/>
                <w:sz w:val="22"/>
              </w:rPr>
              <w:t>Prepared for Oaktree Law  |  April 15, 2026</w:t>
            </w:r>
          </w:p>
        </w:tc>
      </w:tr>
    </w:tbl>
    <w:p/>
    <w:p>
      <w:pPr>
        <w:spacing w:before="240" w:after="120"/>
      </w:pPr>
      <w:r>
        <w:rPr>
          <w:rFonts w:ascii="Open Sans" w:hAnsi="Open Sans"/>
          <w:b/>
          <w:color w:val="1A1A2E"/>
          <w:sz w:val="26"/>
        </w:rPr>
        <w:t>Dear Ed,</w:t>
      </w:r>
    </w:p>
    <w:p>
      <w:pPr>
        <w:spacing w:after="120"/>
      </w:pPr>
      <w:r>
        <w:rPr>
          <w:rFonts w:ascii="Open Sans" w:hAnsi="Open Sans"/>
          <w:b w:val="0"/>
          <w:color w:val="1A1A2E"/>
          <w:sz w:val="20"/>
        </w:rPr>
        <w:t>Thank you for the opportunity to present replacement options for Oaktree Law's on-premises server. The current system has served the firm well, but after nearly a decade of service it is out of manufacturer warranty, low on memory, and running near storage capacity. Replacing it now — on your timeline, not under emergency conditions — protects the firm's productivity and data.</w:t>
      </w:r>
    </w:p>
    <w:p>
      <w:pPr>
        <w:spacing w:after="120"/>
      </w:pPr>
      <w:r>
        <w:rPr>
          <w:rFonts w:ascii="Open Sans" w:hAnsi="Open Sans"/>
          <w:b w:val="0"/>
          <w:color w:val="1A1A2E"/>
          <w:sz w:val="20"/>
        </w:rPr>
        <w:t>Below are three Dell PowerEdge rack server options, each sized to give Oaktree Law meaningful headroom over the current system. Every option is backed by Dell factory warranty and Technijian's white-glove configuration, deployment, and support.</w:t>
      </w:r>
    </w:p>
    <w:p>
      <w:pPr>
        <w:spacing w:before="240" w:after="120"/>
      </w:pPr>
      <w:r>
        <w:rPr>
          <w:rFonts w:ascii="Open Sans" w:hAnsi="Open Sans"/>
          <w:b/>
          <w:color w:val="006DB6"/>
          <w:sz w:val="28"/>
        </w:rPr>
        <w:t>Your Current Server</w:t>
      </w:r>
    </w:p>
    <w:tbl>
      <w:tblP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ayout w:type="fixed"/>
        <w:tblW w:w="10224" w:type="dxa"/>
      </w:tblPr>
      <w:tblGrid>
        <w:gridCol w:w="3168"/>
        <w:gridCol w:w="7056"/>
      </w:tblGrid>
      <w:tr>
        <w:trPr>
          <w:cantSplit/>
        </w:trPr>
        <w:tc>
          <w:tcPr>
            <w:shd w:fill="F8F9FA" w:val="clear"/>
            <w:tcW w:w="3168" w:type="dxa"/>
          </w:tcPr>
          <w:p>
            <w:pPr>
              <w:spacing w:before="60" w:after="60"/>
            </w:pPr>
            <w:r>
              <w:rPr>
                <w:rFonts w:ascii="Open Sans" w:hAnsi="Open Sans"/>
                <w:b/>
                <w:color w:val="1A1A2E"/>
                <w:sz w:val="20"/>
              </w:rPr>
              <w:t>Platform</w:t>
            </w:r>
          </w:p>
        </w:tc>
        <w:tc>
          <w:tcPr>
            <w:tcW w:w="7056" w:type="dxa"/>
          </w:tcPr>
          <w:p>
            <w:pPr>
              <w:spacing w:before="60" w:after="60"/>
            </w:pPr>
            <w:r>
              <w:rPr>
                <w:rFonts w:ascii="Open Sans" w:hAnsi="Open Sans"/>
                <w:b w:val="0"/>
                <w:color w:val="1A1A2E"/>
                <w:sz w:val="20"/>
              </w:rPr>
              <w:t>Dell PowerEdge 1U Rack Server (circa 2016)</w:t>
            </w:r>
          </w:p>
        </w:tc>
      </w:tr>
      <w:tr>
        <w:trPr>
          <w:cantSplit/>
        </w:trPr>
        <w:tc>
          <w:tcPr>
            <w:shd w:fill="F8F9FA" w:val="clear"/>
            <w:tcW w:w="3168" w:type="dxa"/>
          </w:tcPr>
          <w:p>
            <w:pPr>
              <w:spacing w:before="60" w:after="60"/>
            </w:pPr>
            <w:r>
              <w:rPr>
                <w:rFonts w:ascii="Open Sans" w:hAnsi="Open Sans"/>
                <w:b/>
                <w:color w:val="1A1A2E"/>
                <w:sz w:val="20"/>
              </w:rPr>
              <w:t>Processor</w:t>
            </w:r>
          </w:p>
        </w:tc>
        <w:tc>
          <w:tcPr>
            <w:tcW w:w="7056" w:type="dxa"/>
          </w:tcPr>
          <w:p>
            <w:pPr>
              <w:spacing w:before="60" w:after="60"/>
            </w:pPr>
            <w:r>
              <w:rPr>
                <w:rFonts w:ascii="Open Sans" w:hAnsi="Open Sans"/>
                <w:b w:val="0"/>
                <w:color w:val="1A1A2E"/>
                <w:sz w:val="20"/>
              </w:rPr>
              <w:t>Intel Xeon E3-1220 v5  (4 cores, 3.0 GHz)</w:t>
            </w:r>
          </w:p>
        </w:tc>
      </w:tr>
      <w:tr>
        <w:trPr>
          <w:cantSplit/>
        </w:trPr>
        <w:tc>
          <w:tcPr>
            <w:shd w:fill="F8F9FA" w:val="clear"/>
            <w:tcW w:w="3168" w:type="dxa"/>
          </w:tcPr>
          <w:p>
            <w:pPr>
              <w:spacing w:before="60" w:after="60"/>
            </w:pPr>
            <w:r>
              <w:rPr>
                <w:rFonts w:ascii="Open Sans" w:hAnsi="Open Sans"/>
                <w:b/>
                <w:color w:val="1A1A2E"/>
                <w:sz w:val="20"/>
              </w:rPr>
              <w:t>Memory</w:t>
            </w:r>
          </w:p>
        </w:tc>
        <w:tc>
          <w:tcPr>
            <w:tcW w:w="7056" w:type="dxa"/>
          </w:tcPr>
          <w:p>
            <w:pPr>
              <w:spacing w:before="60" w:after="60"/>
            </w:pPr>
            <w:r>
              <w:rPr>
                <w:rFonts w:ascii="Open Sans" w:hAnsi="Open Sans"/>
                <w:b w:val="0"/>
                <w:color w:val="1A1A2E"/>
                <w:sz w:val="20"/>
              </w:rPr>
              <w:t>14 GB</w:t>
            </w:r>
          </w:p>
        </w:tc>
      </w:tr>
      <w:tr>
        <w:trPr>
          <w:cantSplit/>
        </w:trPr>
        <w:tc>
          <w:tcPr>
            <w:shd w:fill="F8F9FA" w:val="clear"/>
            <w:tcW w:w="3168" w:type="dxa"/>
          </w:tcPr>
          <w:p>
            <w:pPr>
              <w:spacing w:before="60" w:after="60"/>
            </w:pPr>
            <w:r>
              <w:rPr>
                <w:rFonts w:ascii="Open Sans" w:hAnsi="Open Sans"/>
                <w:b/>
                <w:color w:val="1A1A2E"/>
                <w:sz w:val="20"/>
              </w:rPr>
              <w:t>Storage</w:t>
            </w:r>
          </w:p>
        </w:tc>
        <w:tc>
          <w:tcPr>
            <w:tcW w:w="7056" w:type="dxa"/>
          </w:tcPr>
          <w:p>
            <w:pPr>
              <w:spacing w:before="60" w:after="60"/>
            </w:pPr>
            <w:r>
              <w:rPr>
                <w:rFonts w:ascii="Open Sans" w:hAnsi="Open Sans"/>
                <w:b w:val="0"/>
                <w:color w:val="1A1A2E"/>
                <w:sz w:val="20"/>
              </w:rPr>
              <w:t>119 GB system drive + 779 GB data drive (~900 GB total)</w:t>
            </w:r>
          </w:p>
        </w:tc>
      </w:tr>
      <w:tr>
        <w:trPr>
          <w:cantSplit/>
        </w:trPr>
        <w:tc>
          <w:tcPr>
            <w:shd w:fill="F8F9FA" w:val="clear"/>
            <w:tcW w:w="3168" w:type="dxa"/>
          </w:tcPr>
          <w:p>
            <w:pPr>
              <w:spacing w:before="60" w:after="60"/>
            </w:pPr>
            <w:r>
              <w:rPr>
                <w:rFonts w:ascii="Open Sans" w:hAnsi="Open Sans"/>
                <w:b/>
                <w:color w:val="1A1A2E"/>
                <w:sz w:val="20"/>
              </w:rPr>
              <w:t>Warranty Status</w:t>
            </w:r>
          </w:p>
        </w:tc>
        <w:tc>
          <w:tcPr>
            <w:tcW w:w="7056" w:type="dxa"/>
          </w:tcPr>
          <w:p>
            <w:pPr>
              <w:spacing w:before="60" w:after="60"/>
            </w:pPr>
            <w:r>
              <w:rPr>
                <w:rFonts w:ascii="Open Sans" w:hAnsi="Open Sans"/>
                <w:b w:val="0"/>
                <w:color w:val="1A1A2E"/>
                <w:sz w:val="20"/>
              </w:rPr>
              <w:t>Out of Dell manufacturer support — end-of-life platform</w:t>
            </w:r>
          </w:p>
        </w:tc>
      </w:tr>
      <w:tr>
        <w:trPr>
          <w:cantSplit/>
        </w:trPr>
        <w:tc>
          <w:tcPr>
            <w:shd w:fill="F8F9FA" w:val="clear"/>
            <w:tcW w:w="3168" w:type="dxa"/>
          </w:tcPr>
          <w:p>
            <w:pPr>
              <w:spacing w:before="60" w:after="60"/>
            </w:pPr>
            <w:r>
              <w:rPr>
                <w:rFonts w:ascii="Open Sans" w:hAnsi="Open Sans"/>
                <w:b/>
                <w:color w:val="1A1A2E"/>
                <w:sz w:val="20"/>
              </w:rPr>
              <w:t>Data Drive Utilization</w:t>
            </w:r>
          </w:p>
        </w:tc>
        <w:tc>
          <w:tcPr>
            <w:tcW w:w="7056" w:type="dxa"/>
          </w:tcPr>
          <w:p>
            <w:pPr>
              <w:spacing w:before="60" w:after="60"/>
            </w:pPr>
            <w:r>
              <w:rPr>
                <w:rFonts w:ascii="Open Sans" w:hAnsi="Open Sans"/>
                <w:b w:val="0"/>
                <w:color w:val="1A1A2E"/>
                <w:sz w:val="20"/>
              </w:rPr>
              <w:t>94% full (approximately 60 GB free)</w:t>
            </w:r>
          </w:p>
        </w:tc>
      </w:tr>
    </w:tbl>
    <w:p/>
    <w:p>
      <w:pPr>
        <w:spacing w:before="280" w:after="120"/>
      </w:pPr>
      <w:r>
        <w:rPr>
          <w:rFonts w:ascii="Open Sans" w:hAnsi="Open Sans"/>
          <w:b/>
          <w:color w:val="F67D4B"/>
          <w:sz w:val="36"/>
        </w:rPr>
        <w:t>Replacement Options</w:t>
      </w:r>
    </w:p>
    <w:tbl>
      <w:tblP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ayout w:type="fixed"/>
        <w:tblW w:w="10224" w:type="dxa"/>
      </w:tblPr>
      <w:tblGrid>
        <w:gridCol w:w="3024"/>
        <w:gridCol w:w="7200"/>
      </w:tblGrid>
      <w:tr>
        <w:trPr>
          <w:cantSplit/>
        </w:trPr>
        <w:tc>
          <w:tcPr>
            <w:tcW w:w="3024" w:type="dxa"/>
            <w:shd w:fill="006DB6" w:val="clear"/>
          </w:tcPr>
          <w:p>
            <w:pPr>
              <w:spacing w:before="120" w:after="120"/>
            </w:pPr>
            <w:r>
              <w:rPr>
                <w:rFonts w:ascii="Open Sans" w:hAnsi="Open Sans"/>
                <w:b/>
                <w:color w:val="FFFFFF"/>
                <w:sz w:val="24"/>
              </w:rPr>
              <w:t>OPTION A  —  ESSENTIAL  —  Dell PowerEdge R350</w:t>
            </w:r>
          </w:p>
        </w:tc>
        <w:tc>
          <w:tcPr>
            <w:tcW w:w="7200" w:type="dxa"/>
            <w:shd w:fill="F67D4B" w:val="clear"/>
          </w:tcPr>
          <w:p>
            <w:pPr>
              <w:spacing w:before="120" w:after="120"/>
              <w:jc w:val="right"/>
            </w:pPr>
            <w:r>
              <w:rPr>
                <w:rFonts w:ascii="Open Sans" w:hAnsi="Open Sans"/>
                <w:b/>
                <w:color w:val="FFFFFF"/>
                <w:sz w:val="28"/>
              </w:rPr>
              <w:t>$2,220.00</w:t>
            </w:r>
          </w:p>
        </w:tc>
      </w:tr>
      <w:tr>
        <w:trPr>
          <w:cantSplit/>
        </w:trPr>
        <w:tc>
          <w:tcPr>
            <w:tcW w:w="3024" w:type="dxa"/>
            <w:shd w:fill="F8F9FA" w:val="clear"/>
          </w:tcPr>
          <w:p>
            <w:pPr>
              <w:spacing w:before="40" w:after="40"/>
            </w:pPr>
            <w:r>
              <w:rPr>
                <w:rFonts w:ascii="Open Sans" w:hAnsi="Open Sans"/>
                <w:b/>
                <w:color w:val="1A1A2E"/>
                <w:sz w:val="20"/>
              </w:rPr>
              <w:t>Processor</w:t>
            </w:r>
          </w:p>
        </w:tc>
        <w:tc>
          <w:tcPr>
            <w:tcW w:w="7200" w:type="dxa"/>
          </w:tcPr>
          <w:p>
            <w:pPr>
              <w:spacing w:before="40" w:after="40"/>
            </w:pPr>
            <w:r>
              <w:rPr>
                <w:rFonts w:ascii="Open Sans" w:hAnsi="Open Sans"/>
                <w:b w:val="0"/>
                <w:color w:val="1A1A2E"/>
                <w:sz w:val="20"/>
              </w:rPr>
              <w:t>Intel Xeon E-2334  (4 cores / 8 threads, 3.4 GHz)</w:t>
            </w:r>
          </w:p>
        </w:tc>
      </w:tr>
      <w:tr>
        <w:trPr>
          <w:cantSplit/>
        </w:trPr>
        <w:tc>
          <w:tcPr>
            <w:tcW w:w="3024" w:type="dxa"/>
            <w:shd w:fill="F8F9FA" w:val="clear"/>
          </w:tcPr>
          <w:p>
            <w:pPr>
              <w:spacing w:before="40" w:after="40"/>
            </w:pPr>
            <w:r>
              <w:rPr>
                <w:rFonts w:ascii="Open Sans" w:hAnsi="Open Sans"/>
                <w:b/>
                <w:color w:val="1A1A2E"/>
                <w:sz w:val="20"/>
              </w:rPr>
              <w:t>Memory</w:t>
            </w:r>
          </w:p>
        </w:tc>
        <w:tc>
          <w:tcPr>
            <w:tcW w:w="7200" w:type="dxa"/>
          </w:tcPr>
          <w:p>
            <w:pPr>
              <w:spacing w:before="40" w:after="40"/>
            </w:pPr>
            <w:r>
              <w:rPr>
                <w:rFonts w:ascii="Open Sans" w:hAnsi="Open Sans"/>
                <w:b w:val="0"/>
                <w:color w:val="1A1A2E"/>
                <w:sz w:val="20"/>
              </w:rPr>
              <w:t>32 GB ECC — 2.3x your current capacity</w:t>
            </w:r>
          </w:p>
        </w:tc>
      </w:tr>
      <w:tr>
        <w:trPr>
          <w:cantSplit/>
        </w:trPr>
        <w:tc>
          <w:tcPr>
            <w:tcW w:w="3024" w:type="dxa"/>
            <w:shd w:fill="F8F9FA" w:val="clear"/>
          </w:tcPr>
          <w:p>
            <w:pPr>
              <w:spacing w:before="40" w:after="40"/>
            </w:pPr>
            <w:r>
              <w:rPr>
                <w:rFonts w:ascii="Open Sans" w:hAnsi="Open Sans"/>
                <w:b/>
                <w:color w:val="1A1A2E"/>
                <w:sz w:val="20"/>
              </w:rPr>
              <w:t>Storage</w:t>
            </w:r>
          </w:p>
        </w:tc>
        <w:tc>
          <w:tcPr>
            <w:tcW w:w="7200" w:type="dxa"/>
          </w:tcPr>
          <w:p>
            <w:pPr>
              <w:spacing w:before="40" w:after="40"/>
            </w:pPr>
            <w:r>
              <w:rPr>
                <w:rFonts w:ascii="Open Sans" w:hAnsi="Open Sans"/>
                <w:b w:val="0"/>
                <w:color w:val="1A1A2E"/>
                <w:sz w:val="20"/>
              </w:rPr>
              <w:t>2 x 2 TB enterprise drives in RAID 1 (mirrored)</w:t>
            </w:r>
          </w:p>
        </w:tc>
      </w:tr>
      <w:tr>
        <w:trPr>
          <w:cantSplit/>
        </w:trPr>
        <w:tc>
          <w:tcPr>
            <w:tcW w:w="3024" w:type="dxa"/>
            <w:shd w:fill="F8F9FA" w:val="clear"/>
          </w:tcPr>
          <w:p>
            <w:pPr>
              <w:spacing w:before="40" w:after="40"/>
            </w:pPr>
            <w:r>
              <w:rPr>
                <w:rFonts w:ascii="Open Sans" w:hAnsi="Open Sans"/>
                <w:b/>
                <w:color w:val="1A1A2E"/>
                <w:sz w:val="20"/>
              </w:rPr>
              <w:t>Usable Storage</w:t>
            </w:r>
          </w:p>
        </w:tc>
        <w:tc>
          <w:tcPr>
            <w:tcW w:w="7200" w:type="dxa"/>
          </w:tcPr>
          <w:p>
            <w:pPr>
              <w:spacing w:before="40" w:after="40"/>
            </w:pPr>
            <w:r>
              <w:rPr>
                <w:rFonts w:ascii="Open Sans" w:hAnsi="Open Sans"/>
                <w:b w:val="0"/>
                <w:color w:val="1A1A2E"/>
                <w:sz w:val="20"/>
              </w:rPr>
              <w:t>~2 TB of protected storage — 2.2x your current capacity</w:t>
            </w:r>
          </w:p>
        </w:tc>
      </w:tr>
      <w:tr>
        <w:trPr>
          <w:cantSplit/>
        </w:trPr>
        <w:tc>
          <w:tcPr>
            <w:tcW w:w="3024" w:type="dxa"/>
            <w:shd w:fill="F8F9FA" w:val="clear"/>
          </w:tcPr>
          <w:p>
            <w:pPr>
              <w:spacing w:before="40" w:after="40"/>
            </w:pPr>
            <w:r>
              <w:rPr>
                <w:rFonts w:ascii="Open Sans" w:hAnsi="Open Sans"/>
                <w:b/>
                <w:color w:val="1A1A2E"/>
                <w:sz w:val="20"/>
              </w:rPr>
              <w:t>Power</w:t>
            </w:r>
          </w:p>
        </w:tc>
        <w:tc>
          <w:tcPr>
            <w:tcW w:w="7200" w:type="dxa"/>
          </w:tcPr>
          <w:p>
            <w:pPr>
              <w:spacing w:before="40" w:after="40"/>
            </w:pPr>
            <w:r>
              <w:rPr>
                <w:rFonts w:ascii="Open Sans" w:hAnsi="Open Sans"/>
                <w:b w:val="0"/>
                <w:color w:val="1A1A2E"/>
                <w:sz w:val="20"/>
              </w:rPr>
              <w:t>Single enterprise-grade power supply</w:t>
            </w:r>
          </w:p>
        </w:tc>
      </w:tr>
      <w:tr>
        <w:trPr>
          <w:cantSplit/>
        </w:trPr>
        <w:tc>
          <w:tcPr>
            <w:tcW w:w="3024" w:type="dxa"/>
            <w:shd w:fill="F8F9FA" w:val="clear"/>
          </w:tcPr>
          <w:p>
            <w:pPr>
              <w:spacing w:before="40" w:after="40"/>
            </w:pPr>
            <w:r>
              <w:rPr>
                <w:rFonts w:ascii="Open Sans" w:hAnsi="Open Sans"/>
                <w:b/>
                <w:color w:val="1A1A2E"/>
                <w:sz w:val="20"/>
              </w:rPr>
              <w:t>Remote Management</w:t>
            </w:r>
          </w:p>
        </w:tc>
        <w:tc>
          <w:tcPr>
            <w:tcW w:w="7200" w:type="dxa"/>
          </w:tcPr>
          <w:p>
            <w:pPr>
              <w:spacing w:before="40" w:after="40"/>
            </w:pPr>
            <w:r>
              <w:rPr>
                <w:rFonts w:ascii="Open Sans" w:hAnsi="Open Sans"/>
                <w:b w:val="0"/>
                <w:color w:val="1A1A2E"/>
                <w:sz w:val="20"/>
              </w:rPr>
              <w:t>Dell iDRAC9 Basic</w:t>
            </w:r>
          </w:p>
        </w:tc>
      </w:tr>
      <w:tr>
        <w:trPr>
          <w:cantSplit/>
        </w:trPr>
        <w:tc>
          <w:tcPr>
            <w:tcW w:w="3024" w:type="dxa"/>
            <w:shd w:fill="F8F9FA" w:val="clear"/>
          </w:tcPr>
          <w:p>
            <w:pPr>
              <w:spacing w:before="40" w:after="40"/>
            </w:pPr>
            <w:r>
              <w:rPr>
                <w:rFonts w:ascii="Open Sans" w:hAnsi="Open Sans"/>
                <w:b/>
                <w:color w:val="1A1A2E"/>
                <w:sz w:val="20"/>
              </w:rPr>
              <w:t>Form Factor</w:t>
            </w:r>
          </w:p>
        </w:tc>
        <w:tc>
          <w:tcPr>
            <w:tcW w:w="7200" w:type="dxa"/>
          </w:tcPr>
          <w:p>
            <w:pPr>
              <w:spacing w:before="40" w:after="40"/>
            </w:pPr>
            <w:r>
              <w:rPr>
                <w:rFonts w:ascii="Open Sans" w:hAnsi="Open Sans"/>
                <w:b w:val="0"/>
                <w:color w:val="1A1A2E"/>
                <w:sz w:val="20"/>
              </w:rPr>
              <w:t>1U Rack — fits your existing rack footprint</w:t>
            </w:r>
          </w:p>
        </w:tc>
      </w:tr>
      <w:tr>
        <w:trPr>
          <w:cantSplit/>
        </w:trPr>
        <w:tc>
          <w:tcPr>
            <w:tcW w:w="3024" w:type="dxa"/>
            <w:shd w:fill="F8F9FA" w:val="clear"/>
          </w:tcPr>
          <w:p>
            <w:pPr>
              <w:spacing w:before="40" w:after="40"/>
            </w:pPr>
            <w:r>
              <w:rPr>
                <w:rFonts w:ascii="Open Sans" w:hAnsi="Open Sans"/>
                <w:b/>
                <w:color w:val="1A1A2E"/>
                <w:sz w:val="20"/>
              </w:rPr>
              <w:t>Warranty</w:t>
            </w:r>
          </w:p>
        </w:tc>
        <w:tc>
          <w:tcPr>
            <w:tcW w:w="7200" w:type="dxa"/>
          </w:tcPr>
          <w:p>
            <w:pPr>
              <w:spacing w:before="40" w:after="40"/>
            </w:pPr>
            <w:r>
              <w:rPr>
                <w:rFonts w:ascii="Open Sans" w:hAnsi="Open Sans"/>
                <w:b w:val="0"/>
                <w:color w:val="1A1A2E"/>
                <w:sz w:val="20"/>
              </w:rPr>
              <w:t>1 Year Dell ProSupport Next-Business-Day included</w:t>
            </w:r>
          </w:p>
        </w:tc>
      </w:tr>
      <w:tr>
        <w:trPr>
          <w:cantSplit/>
        </w:trPr>
        <w:tc>
          <w:tcPr>
            <w:tcW w:w="3024" w:type="dxa"/>
            <w:shd w:fill="1A1A2E" w:val="clear"/>
          </w:tcPr>
          <w:p>
            <w:pPr>
              <w:spacing w:before="80" w:after="80"/>
            </w:pPr>
            <w:r>
              <w:rPr>
                <w:rFonts w:ascii="Open Sans" w:hAnsi="Open Sans"/>
                <w:b/>
                <w:color w:val="FFFFFF"/>
                <w:sz w:val="22"/>
              </w:rPr>
              <w:t>Your Investment</w:t>
            </w:r>
          </w:p>
        </w:tc>
        <w:tc>
          <w:tcPr>
            <w:tcW w:w="7200" w:type="dxa"/>
            <w:shd w:fill="1A1A2E" w:val="clear"/>
          </w:tcPr>
          <w:p>
            <w:pPr>
              <w:spacing w:before="80" w:after="80"/>
              <w:jc w:val="right"/>
            </w:pPr>
            <w:r>
              <w:rPr>
                <w:rFonts w:ascii="Open Sans" w:hAnsi="Open Sans"/>
                <w:b/>
                <w:color w:val="FFFFFF"/>
                <w:sz w:val="24"/>
              </w:rPr>
              <w:t>$2,220.00</w:t>
            </w:r>
          </w:p>
        </w:tc>
      </w:tr>
    </w:tbl>
    <w:p/>
    <w:tbl>
      <w:tblP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ayout w:type="fixed"/>
        <w:tblW w:w="10224" w:type="dxa"/>
      </w:tblPr>
      <w:tblGrid>
        <w:gridCol w:w="3024"/>
        <w:gridCol w:w="7200"/>
      </w:tblGrid>
      <w:tr>
        <w:trPr>
          <w:cantSplit/>
        </w:trPr>
        <w:tc>
          <w:tcPr>
            <w:tcW w:w="3024" w:type="dxa"/>
            <w:shd w:fill="006DB6" w:val="clear"/>
          </w:tcPr>
          <w:p>
            <w:pPr>
              <w:spacing w:before="120" w:after="120"/>
            </w:pPr>
            <w:r>
              <w:rPr>
                <w:rFonts w:ascii="Open Sans" w:hAnsi="Open Sans"/>
                <w:b/>
                <w:color w:val="FFFFFF"/>
                <w:sz w:val="24"/>
              </w:rPr>
              <w:t>OPTION B  —  PROFESSIONAL  ★ RECOMMENDED  —  Dell PowerEdge R350</w:t>
            </w:r>
          </w:p>
        </w:tc>
        <w:tc>
          <w:tcPr>
            <w:tcW w:w="7200" w:type="dxa"/>
            <w:shd w:fill="F67D4B" w:val="clear"/>
          </w:tcPr>
          <w:p>
            <w:pPr>
              <w:spacing w:before="120" w:after="120"/>
              <w:jc w:val="right"/>
            </w:pPr>
            <w:r>
              <w:rPr>
                <w:rFonts w:ascii="Open Sans" w:hAnsi="Open Sans"/>
                <w:b/>
                <w:color w:val="FFFFFF"/>
                <w:sz w:val="28"/>
              </w:rPr>
              <w:t>$3,840.00</w:t>
            </w:r>
          </w:p>
        </w:tc>
      </w:tr>
      <w:tr>
        <w:trPr>
          <w:cantSplit/>
        </w:trPr>
        <w:tc>
          <w:tcPr>
            <w:tcW w:w="3024" w:type="dxa"/>
            <w:shd w:fill="F8F9FA" w:val="clear"/>
          </w:tcPr>
          <w:p>
            <w:pPr>
              <w:spacing w:before="40" w:after="40"/>
            </w:pPr>
            <w:r>
              <w:rPr>
                <w:rFonts w:ascii="Open Sans" w:hAnsi="Open Sans"/>
                <w:b/>
                <w:color w:val="1A1A2E"/>
                <w:sz w:val="20"/>
              </w:rPr>
              <w:t>Processor</w:t>
            </w:r>
          </w:p>
        </w:tc>
        <w:tc>
          <w:tcPr>
            <w:tcW w:w="7200" w:type="dxa"/>
          </w:tcPr>
          <w:p>
            <w:pPr>
              <w:spacing w:before="40" w:after="40"/>
            </w:pPr>
            <w:r>
              <w:rPr>
                <w:rFonts w:ascii="Open Sans" w:hAnsi="Open Sans"/>
                <w:b w:val="0"/>
                <w:color w:val="1A1A2E"/>
                <w:sz w:val="20"/>
              </w:rPr>
              <w:t>Intel Xeon E-2378  (8 cores / 16 threads, 2.6 GHz)</w:t>
            </w:r>
          </w:p>
        </w:tc>
      </w:tr>
      <w:tr>
        <w:trPr>
          <w:cantSplit/>
        </w:trPr>
        <w:tc>
          <w:tcPr>
            <w:tcW w:w="3024" w:type="dxa"/>
            <w:shd w:fill="F8F9FA" w:val="clear"/>
          </w:tcPr>
          <w:p>
            <w:pPr>
              <w:spacing w:before="40" w:after="40"/>
            </w:pPr>
            <w:r>
              <w:rPr>
                <w:rFonts w:ascii="Open Sans" w:hAnsi="Open Sans"/>
                <w:b/>
                <w:color w:val="1A1A2E"/>
                <w:sz w:val="20"/>
              </w:rPr>
              <w:t>Memory</w:t>
            </w:r>
          </w:p>
        </w:tc>
        <w:tc>
          <w:tcPr>
            <w:tcW w:w="7200" w:type="dxa"/>
          </w:tcPr>
          <w:p>
            <w:pPr>
              <w:spacing w:before="40" w:after="40"/>
            </w:pPr>
            <w:r>
              <w:rPr>
                <w:rFonts w:ascii="Open Sans" w:hAnsi="Open Sans"/>
                <w:b w:val="0"/>
                <w:color w:val="1A1A2E"/>
                <w:sz w:val="20"/>
              </w:rPr>
              <w:t>64 GB ECC — 4.5x your current capacity</w:t>
            </w:r>
          </w:p>
        </w:tc>
      </w:tr>
      <w:tr>
        <w:trPr>
          <w:cantSplit/>
        </w:trPr>
        <w:tc>
          <w:tcPr>
            <w:tcW w:w="3024" w:type="dxa"/>
            <w:shd w:fill="F8F9FA" w:val="clear"/>
          </w:tcPr>
          <w:p>
            <w:pPr>
              <w:spacing w:before="40" w:after="40"/>
            </w:pPr>
            <w:r>
              <w:rPr>
                <w:rFonts w:ascii="Open Sans" w:hAnsi="Open Sans"/>
                <w:b/>
                <w:color w:val="1A1A2E"/>
                <w:sz w:val="20"/>
              </w:rPr>
              <w:t>Storage</w:t>
            </w:r>
          </w:p>
        </w:tc>
        <w:tc>
          <w:tcPr>
            <w:tcW w:w="7200" w:type="dxa"/>
          </w:tcPr>
          <w:p>
            <w:pPr>
              <w:spacing w:before="40" w:after="40"/>
            </w:pPr>
            <w:r>
              <w:rPr>
                <w:rFonts w:ascii="Open Sans" w:hAnsi="Open Sans"/>
                <w:b w:val="0"/>
                <w:color w:val="1A1A2E"/>
                <w:sz w:val="20"/>
              </w:rPr>
              <w:t>4 x 2 TB enterprise drives in RAID 10</w:t>
            </w:r>
          </w:p>
        </w:tc>
      </w:tr>
      <w:tr>
        <w:trPr>
          <w:cantSplit/>
        </w:trPr>
        <w:tc>
          <w:tcPr>
            <w:tcW w:w="3024" w:type="dxa"/>
            <w:shd w:fill="F8F9FA" w:val="clear"/>
          </w:tcPr>
          <w:p>
            <w:pPr>
              <w:spacing w:before="40" w:after="40"/>
            </w:pPr>
            <w:r>
              <w:rPr>
                <w:rFonts w:ascii="Open Sans" w:hAnsi="Open Sans"/>
                <w:b/>
                <w:color w:val="1A1A2E"/>
                <w:sz w:val="20"/>
              </w:rPr>
              <w:t>Usable Storage</w:t>
            </w:r>
          </w:p>
        </w:tc>
        <w:tc>
          <w:tcPr>
            <w:tcW w:w="7200" w:type="dxa"/>
          </w:tcPr>
          <w:p>
            <w:pPr>
              <w:spacing w:before="40" w:after="40"/>
            </w:pPr>
            <w:r>
              <w:rPr>
                <w:rFonts w:ascii="Open Sans" w:hAnsi="Open Sans"/>
                <w:b w:val="0"/>
                <w:color w:val="1A1A2E"/>
                <w:sz w:val="20"/>
              </w:rPr>
              <w:t>~4 TB of protected storage, high performance</w:t>
            </w:r>
          </w:p>
        </w:tc>
      </w:tr>
      <w:tr>
        <w:trPr>
          <w:cantSplit/>
        </w:trPr>
        <w:tc>
          <w:tcPr>
            <w:tcW w:w="3024" w:type="dxa"/>
            <w:shd w:fill="F8F9FA" w:val="clear"/>
          </w:tcPr>
          <w:p>
            <w:pPr>
              <w:spacing w:before="40" w:after="40"/>
            </w:pPr>
            <w:r>
              <w:rPr>
                <w:rFonts w:ascii="Open Sans" w:hAnsi="Open Sans"/>
                <w:b/>
                <w:color w:val="1A1A2E"/>
                <w:sz w:val="20"/>
              </w:rPr>
              <w:t>Power</w:t>
            </w:r>
          </w:p>
        </w:tc>
        <w:tc>
          <w:tcPr>
            <w:tcW w:w="7200" w:type="dxa"/>
          </w:tcPr>
          <w:p>
            <w:pPr>
              <w:spacing w:before="40" w:after="40"/>
            </w:pPr>
            <w:r>
              <w:rPr>
                <w:rFonts w:ascii="Open Sans" w:hAnsi="Open Sans"/>
                <w:b w:val="0"/>
                <w:color w:val="1A1A2E"/>
                <w:sz w:val="20"/>
              </w:rPr>
              <w:t>Dual hot-plug redundant power supplies</w:t>
            </w:r>
          </w:p>
        </w:tc>
      </w:tr>
      <w:tr>
        <w:trPr>
          <w:cantSplit/>
        </w:trPr>
        <w:tc>
          <w:tcPr>
            <w:tcW w:w="3024" w:type="dxa"/>
            <w:shd w:fill="F8F9FA" w:val="clear"/>
          </w:tcPr>
          <w:p>
            <w:pPr>
              <w:spacing w:before="40" w:after="40"/>
            </w:pPr>
            <w:r>
              <w:rPr>
                <w:rFonts w:ascii="Open Sans" w:hAnsi="Open Sans"/>
                <w:b/>
                <w:color w:val="1A1A2E"/>
                <w:sz w:val="20"/>
              </w:rPr>
              <w:t>Remote Management</w:t>
            </w:r>
          </w:p>
        </w:tc>
        <w:tc>
          <w:tcPr>
            <w:tcW w:w="7200" w:type="dxa"/>
          </w:tcPr>
          <w:p>
            <w:pPr>
              <w:spacing w:before="40" w:after="40"/>
            </w:pPr>
            <w:r>
              <w:rPr>
                <w:rFonts w:ascii="Open Sans" w:hAnsi="Open Sans"/>
                <w:b w:val="0"/>
                <w:color w:val="1A1A2E"/>
                <w:sz w:val="20"/>
              </w:rPr>
              <w:t>Dell iDRAC9 Enterprise</w:t>
            </w:r>
          </w:p>
        </w:tc>
      </w:tr>
      <w:tr>
        <w:trPr>
          <w:cantSplit/>
        </w:trPr>
        <w:tc>
          <w:tcPr>
            <w:tcW w:w="3024" w:type="dxa"/>
            <w:shd w:fill="F8F9FA" w:val="clear"/>
          </w:tcPr>
          <w:p>
            <w:pPr>
              <w:spacing w:before="40" w:after="40"/>
            </w:pPr>
            <w:r>
              <w:rPr>
                <w:rFonts w:ascii="Open Sans" w:hAnsi="Open Sans"/>
                <w:b/>
                <w:color w:val="1A1A2E"/>
                <w:sz w:val="20"/>
              </w:rPr>
              <w:t>Form Factor</w:t>
            </w:r>
          </w:p>
        </w:tc>
        <w:tc>
          <w:tcPr>
            <w:tcW w:w="7200" w:type="dxa"/>
          </w:tcPr>
          <w:p>
            <w:pPr>
              <w:spacing w:before="40" w:after="40"/>
            </w:pPr>
            <w:r>
              <w:rPr>
                <w:rFonts w:ascii="Open Sans" w:hAnsi="Open Sans"/>
                <w:b w:val="0"/>
                <w:color w:val="1A1A2E"/>
                <w:sz w:val="20"/>
              </w:rPr>
              <w:t>1U Rack with hot-plug drive bays</w:t>
            </w:r>
          </w:p>
        </w:tc>
      </w:tr>
      <w:tr>
        <w:trPr>
          <w:cantSplit/>
        </w:trPr>
        <w:tc>
          <w:tcPr>
            <w:tcW w:w="3024" w:type="dxa"/>
            <w:shd w:fill="F8F9FA" w:val="clear"/>
          </w:tcPr>
          <w:p>
            <w:pPr>
              <w:spacing w:before="40" w:after="40"/>
            </w:pPr>
            <w:r>
              <w:rPr>
                <w:rFonts w:ascii="Open Sans" w:hAnsi="Open Sans"/>
                <w:b/>
                <w:color w:val="1A1A2E"/>
                <w:sz w:val="20"/>
              </w:rPr>
              <w:t>Warranty</w:t>
            </w:r>
          </w:p>
        </w:tc>
        <w:tc>
          <w:tcPr>
            <w:tcW w:w="7200" w:type="dxa"/>
          </w:tcPr>
          <w:p>
            <w:pPr>
              <w:spacing w:before="40" w:after="40"/>
            </w:pPr>
            <w:r>
              <w:rPr>
                <w:rFonts w:ascii="Open Sans" w:hAnsi="Open Sans"/>
                <w:b w:val="0"/>
                <w:color w:val="1A1A2E"/>
                <w:sz w:val="20"/>
              </w:rPr>
              <w:t>1 Year Dell ProSupport Next-Business-Day included</w:t>
            </w:r>
          </w:p>
        </w:tc>
      </w:tr>
      <w:tr>
        <w:trPr>
          <w:cantSplit/>
        </w:trPr>
        <w:tc>
          <w:tcPr>
            <w:tcW w:w="3024" w:type="dxa"/>
            <w:shd w:fill="1A1A2E" w:val="clear"/>
          </w:tcPr>
          <w:p>
            <w:pPr>
              <w:spacing w:before="80" w:after="80"/>
            </w:pPr>
            <w:r>
              <w:rPr>
                <w:rFonts w:ascii="Open Sans" w:hAnsi="Open Sans"/>
                <w:b/>
                <w:color w:val="FFFFFF"/>
                <w:sz w:val="22"/>
              </w:rPr>
              <w:t>Your Investment</w:t>
            </w:r>
          </w:p>
        </w:tc>
        <w:tc>
          <w:tcPr>
            <w:tcW w:w="7200" w:type="dxa"/>
            <w:shd w:fill="1A1A2E" w:val="clear"/>
          </w:tcPr>
          <w:p>
            <w:pPr>
              <w:spacing w:before="80" w:after="80"/>
              <w:jc w:val="right"/>
            </w:pPr>
            <w:r>
              <w:rPr>
                <w:rFonts w:ascii="Open Sans" w:hAnsi="Open Sans"/>
                <w:b/>
                <w:color w:val="FFFFFF"/>
                <w:sz w:val="24"/>
              </w:rPr>
              <w:t>$3,840.00</w:t>
            </w:r>
          </w:p>
        </w:tc>
      </w:tr>
    </w:tbl>
    <w:p/>
    <w:tbl>
      <w:tblP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ayout w:type="fixed"/>
        <w:tblW w:w="10224" w:type="dxa"/>
      </w:tblPr>
      <w:tblGrid>
        <w:gridCol w:w="3024"/>
        <w:gridCol w:w="7200"/>
      </w:tblGrid>
      <w:tr>
        <w:trPr>
          <w:cantSplit/>
        </w:trPr>
        <w:tc>
          <w:tcPr>
            <w:tcW w:w="3024" w:type="dxa"/>
            <w:shd w:fill="006DB6" w:val="clear"/>
          </w:tcPr>
          <w:p>
            <w:pPr>
              <w:spacing w:before="120" w:after="120"/>
            </w:pPr>
            <w:r>
              <w:rPr>
                <w:rFonts w:ascii="Open Sans" w:hAnsi="Open Sans"/>
                <w:b/>
                <w:color w:val="FFFFFF"/>
                <w:sz w:val="24"/>
              </w:rPr>
              <w:t>OPTION C  —  PREMIUM  —  Dell PowerEdge R360  (Current Generation, 2024)</w:t>
            </w:r>
          </w:p>
        </w:tc>
        <w:tc>
          <w:tcPr>
            <w:tcW w:w="7200" w:type="dxa"/>
            <w:shd w:fill="F67D4B" w:val="clear"/>
          </w:tcPr>
          <w:p>
            <w:pPr>
              <w:spacing w:before="120" w:after="120"/>
              <w:jc w:val="right"/>
            </w:pPr>
            <w:r>
              <w:rPr>
                <w:rFonts w:ascii="Open Sans" w:hAnsi="Open Sans"/>
                <w:b/>
                <w:color w:val="FFFFFF"/>
                <w:sz w:val="28"/>
              </w:rPr>
              <w:t>$5,100.00</w:t>
            </w:r>
          </w:p>
        </w:tc>
      </w:tr>
      <w:tr>
        <w:trPr>
          <w:cantSplit/>
        </w:trPr>
        <w:tc>
          <w:tcPr>
            <w:tcW w:w="3024" w:type="dxa"/>
            <w:shd w:fill="F8F9FA" w:val="clear"/>
          </w:tcPr>
          <w:p>
            <w:pPr>
              <w:spacing w:before="40" w:after="40"/>
            </w:pPr>
            <w:r>
              <w:rPr>
                <w:rFonts w:ascii="Open Sans" w:hAnsi="Open Sans"/>
                <w:b/>
                <w:color w:val="1A1A2E"/>
                <w:sz w:val="20"/>
              </w:rPr>
              <w:t>Processor</w:t>
            </w:r>
          </w:p>
        </w:tc>
        <w:tc>
          <w:tcPr>
            <w:tcW w:w="7200" w:type="dxa"/>
          </w:tcPr>
          <w:p>
            <w:pPr>
              <w:spacing w:before="40" w:after="40"/>
            </w:pPr>
            <w:r>
              <w:rPr>
                <w:rFonts w:ascii="Open Sans" w:hAnsi="Open Sans"/>
                <w:b w:val="0"/>
                <w:color w:val="1A1A2E"/>
                <w:sz w:val="20"/>
              </w:rPr>
              <w:t>Intel Xeon E-2488  (8 cores / 16 threads, 3.2 GHz)</w:t>
            </w:r>
          </w:p>
        </w:tc>
      </w:tr>
      <w:tr>
        <w:trPr>
          <w:cantSplit/>
        </w:trPr>
        <w:tc>
          <w:tcPr>
            <w:tcW w:w="3024" w:type="dxa"/>
            <w:shd w:fill="F8F9FA" w:val="clear"/>
          </w:tcPr>
          <w:p>
            <w:pPr>
              <w:spacing w:before="40" w:after="40"/>
            </w:pPr>
            <w:r>
              <w:rPr>
                <w:rFonts w:ascii="Open Sans" w:hAnsi="Open Sans"/>
                <w:b/>
                <w:color w:val="1A1A2E"/>
                <w:sz w:val="20"/>
              </w:rPr>
              <w:t>Memory</w:t>
            </w:r>
          </w:p>
        </w:tc>
        <w:tc>
          <w:tcPr>
            <w:tcW w:w="7200" w:type="dxa"/>
          </w:tcPr>
          <w:p>
            <w:pPr>
              <w:spacing w:before="40" w:after="40"/>
            </w:pPr>
            <w:r>
              <w:rPr>
                <w:rFonts w:ascii="Open Sans" w:hAnsi="Open Sans"/>
                <w:b w:val="0"/>
                <w:color w:val="1A1A2E"/>
                <w:sz w:val="20"/>
              </w:rPr>
              <w:t>64 GB DDR5 ECC — fastest available memory</w:t>
            </w:r>
          </w:p>
        </w:tc>
      </w:tr>
      <w:tr>
        <w:trPr>
          <w:cantSplit/>
        </w:trPr>
        <w:tc>
          <w:tcPr>
            <w:tcW w:w="3024" w:type="dxa"/>
            <w:shd w:fill="F8F9FA" w:val="clear"/>
          </w:tcPr>
          <w:p>
            <w:pPr>
              <w:spacing w:before="40" w:after="40"/>
            </w:pPr>
            <w:r>
              <w:rPr>
                <w:rFonts w:ascii="Open Sans" w:hAnsi="Open Sans"/>
                <w:b/>
                <w:color w:val="1A1A2E"/>
                <w:sz w:val="20"/>
              </w:rPr>
              <w:t>Storage</w:t>
            </w:r>
          </w:p>
        </w:tc>
        <w:tc>
          <w:tcPr>
            <w:tcW w:w="7200" w:type="dxa"/>
          </w:tcPr>
          <w:p>
            <w:pPr>
              <w:spacing w:before="40" w:after="40"/>
            </w:pPr>
            <w:r>
              <w:rPr>
                <w:rFonts w:ascii="Open Sans" w:hAnsi="Open Sans"/>
                <w:b w:val="0"/>
                <w:color w:val="1A1A2E"/>
                <w:sz w:val="20"/>
              </w:rPr>
              <w:t>4 x 2 TB enterprise drives in RAID 10</w:t>
            </w:r>
          </w:p>
        </w:tc>
      </w:tr>
      <w:tr>
        <w:trPr>
          <w:cantSplit/>
        </w:trPr>
        <w:tc>
          <w:tcPr>
            <w:tcW w:w="3024" w:type="dxa"/>
            <w:shd w:fill="F8F9FA" w:val="clear"/>
          </w:tcPr>
          <w:p>
            <w:pPr>
              <w:spacing w:before="40" w:after="40"/>
            </w:pPr>
            <w:r>
              <w:rPr>
                <w:rFonts w:ascii="Open Sans" w:hAnsi="Open Sans"/>
                <w:b/>
                <w:color w:val="1A1A2E"/>
                <w:sz w:val="20"/>
              </w:rPr>
              <w:t>Usable Storage</w:t>
            </w:r>
          </w:p>
        </w:tc>
        <w:tc>
          <w:tcPr>
            <w:tcW w:w="7200" w:type="dxa"/>
          </w:tcPr>
          <w:p>
            <w:pPr>
              <w:spacing w:before="40" w:after="40"/>
            </w:pPr>
            <w:r>
              <w:rPr>
                <w:rFonts w:ascii="Open Sans" w:hAnsi="Open Sans"/>
                <w:b w:val="0"/>
                <w:color w:val="1A1A2E"/>
                <w:sz w:val="20"/>
              </w:rPr>
              <w:t>~4 TB of protected storage, highest throughput</w:t>
            </w:r>
          </w:p>
        </w:tc>
      </w:tr>
      <w:tr>
        <w:trPr>
          <w:cantSplit/>
        </w:trPr>
        <w:tc>
          <w:tcPr>
            <w:tcW w:w="3024" w:type="dxa"/>
            <w:shd w:fill="F8F9FA" w:val="clear"/>
          </w:tcPr>
          <w:p>
            <w:pPr>
              <w:spacing w:before="40" w:after="40"/>
            </w:pPr>
            <w:r>
              <w:rPr>
                <w:rFonts w:ascii="Open Sans" w:hAnsi="Open Sans"/>
                <w:b/>
                <w:color w:val="1A1A2E"/>
                <w:sz w:val="20"/>
              </w:rPr>
              <w:t>Power</w:t>
            </w:r>
          </w:p>
        </w:tc>
        <w:tc>
          <w:tcPr>
            <w:tcW w:w="7200" w:type="dxa"/>
          </w:tcPr>
          <w:p>
            <w:pPr>
              <w:spacing w:before="40" w:after="40"/>
            </w:pPr>
            <w:r>
              <w:rPr>
                <w:rFonts w:ascii="Open Sans" w:hAnsi="Open Sans"/>
                <w:b w:val="0"/>
                <w:color w:val="1A1A2E"/>
                <w:sz w:val="20"/>
              </w:rPr>
              <w:t>Dual hot-plug Titanium-rated redundant power supplies</w:t>
            </w:r>
          </w:p>
        </w:tc>
      </w:tr>
      <w:tr>
        <w:trPr>
          <w:cantSplit/>
        </w:trPr>
        <w:tc>
          <w:tcPr>
            <w:tcW w:w="3024" w:type="dxa"/>
            <w:shd w:fill="F8F9FA" w:val="clear"/>
          </w:tcPr>
          <w:p>
            <w:pPr>
              <w:spacing w:before="40" w:after="40"/>
            </w:pPr>
            <w:r>
              <w:rPr>
                <w:rFonts w:ascii="Open Sans" w:hAnsi="Open Sans"/>
                <w:b/>
                <w:color w:val="1A1A2E"/>
                <w:sz w:val="20"/>
              </w:rPr>
              <w:t>Remote Management</w:t>
            </w:r>
          </w:p>
        </w:tc>
        <w:tc>
          <w:tcPr>
            <w:tcW w:w="7200" w:type="dxa"/>
          </w:tcPr>
          <w:p>
            <w:pPr>
              <w:spacing w:before="40" w:after="40"/>
            </w:pPr>
            <w:r>
              <w:rPr>
                <w:rFonts w:ascii="Open Sans" w:hAnsi="Open Sans"/>
                <w:b w:val="0"/>
                <w:color w:val="1A1A2E"/>
                <w:sz w:val="20"/>
              </w:rPr>
              <w:t>Dell iDRAC9 Enterprise</w:t>
            </w:r>
          </w:p>
        </w:tc>
      </w:tr>
      <w:tr>
        <w:trPr>
          <w:cantSplit/>
        </w:trPr>
        <w:tc>
          <w:tcPr>
            <w:tcW w:w="3024" w:type="dxa"/>
            <w:shd w:fill="F8F9FA" w:val="clear"/>
          </w:tcPr>
          <w:p>
            <w:pPr>
              <w:spacing w:before="40" w:after="40"/>
            </w:pPr>
            <w:r>
              <w:rPr>
                <w:rFonts w:ascii="Open Sans" w:hAnsi="Open Sans"/>
                <w:b/>
                <w:color w:val="1A1A2E"/>
                <w:sz w:val="20"/>
              </w:rPr>
              <w:t>Form Factor</w:t>
            </w:r>
          </w:p>
        </w:tc>
        <w:tc>
          <w:tcPr>
            <w:tcW w:w="7200" w:type="dxa"/>
          </w:tcPr>
          <w:p>
            <w:pPr>
              <w:spacing w:before="40" w:after="40"/>
            </w:pPr>
            <w:r>
              <w:rPr>
                <w:rFonts w:ascii="Open Sans" w:hAnsi="Open Sans"/>
                <w:b w:val="0"/>
                <w:color w:val="1A1A2E"/>
                <w:sz w:val="20"/>
              </w:rPr>
              <w:t>1U Rack with hot-plug drive bays</w:t>
            </w:r>
          </w:p>
        </w:tc>
      </w:tr>
      <w:tr>
        <w:trPr>
          <w:cantSplit/>
        </w:trPr>
        <w:tc>
          <w:tcPr>
            <w:tcW w:w="3024" w:type="dxa"/>
            <w:shd w:fill="F8F9FA" w:val="clear"/>
          </w:tcPr>
          <w:p>
            <w:pPr>
              <w:spacing w:before="40" w:after="40"/>
            </w:pPr>
            <w:r>
              <w:rPr>
                <w:rFonts w:ascii="Open Sans" w:hAnsi="Open Sans"/>
                <w:b/>
                <w:color w:val="1A1A2E"/>
                <w:sz w:val="20"/>
              </w:rPr>
              <w:t>Warranty</w:t>
            </w:r>
          </w:p>
        </w:tc>
        <w:tc>
          <w:tcPr>
            <w:tcW w:w="7200" w:type="dxa"/>
          </w:tcPr>
          <w:p>
            <w:pPr>
              <w:spacing w:before="40" w:after="40"/>
            </w:pPr>
            <w:r>
              <w:rPr>
                <w:rFonts w:ascii="Open Sans" w:hAnsi="Open Sans"/>
                <w:b w:val="0"/>
                <w:color w:val="1A1A2E"/>
                <w:sz w:val="20"/>
              </w:rPr>
              <w:t>1 Year Dell ProSupport Next-Business-Day included</w:t>
            </w:r>
          </w:p>
        </w:tc>
      </w:tr>
      <w:tr>
        <w:trPr>
          <w:cantSplit/>
        </w:trPr>
        <w:tc>
          <w:tcPr>
            <w:tcW w:w="3024" w:type="dxa"/>
            <w:shd w:fill="1A1A2E" w:val="clear"/>
          </w:tcPr>
          <w:p>
            <w:pPr>
              <w:spacing w:before="80" w:after="80"/>
            </w:pPr>
            <w:r>
              <w:rPr>
                <w:rFonts w:ascii="Open Sans" w:hAnsi="Open Sans"/>
                <w:b/>
                <w:color w:val="FFFFFF"/>
                <w:sz w:val="22"/>
              </w:rPr>
              <w:t>Your Investment</w:t>
            </w:r>
          </w:p>
        </w:tc>
        <w:tc>
          <w:tcPr>
            <w:tcW w:w="7200" w:type="dxa"/>
            <w:shd w:fill="1A1A2E" w:val="clear"/>
          </w:tcPr>
          <w:p>
            <w:pPr>
              <w:spacing w:before="80" w:after="80"/>
              <w:jc w:val="right"/>
            </w:pPr>
            <w:r>
              <w:rPr>
                <w:rFonts w:ascii="Open Sans" w:hAnsi="Open Sans"/>
                <w:b/>
                <w:color w:val="FFFFFF"/>
                <w:sz w:val="24"/>
              </w:rPr>
              <w:t>$5,100.00</w:t>
            </w:r>
          </w:p>
        </w:tc>
      </w:tr>
    </w:tbl>
    <w:p/>
    <w:p>
      <w:pPr>
        <w:spacing w:before="240" w:after="120"/>
      </w:pPr>
      <w:r>
        <w:rPr>
          <w:rFonts w:ascii="Open Sans" w:hAnsi="Open Sans"/>
          <w:b/>
          <w:color w:val="006DB6"/>
          <w:sz w:val="28"/>
        </w:rPr>
        <w:t>At-a-Glance Comparison</w:t>
      </w:r>
    </w:p>
    <w:tbl>
      <w:tblP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ayout w:type="fixed"/>
        <w:tblW w:w="10224" w:type="dxa"/>
      </w:tblPr>
      <w:tblGrid>
        <w:gridCol w:w="2736"/>
        <w:gridCol w:w="1584"/>
        <w:gridCol w:w="1872"/>
        <w:gridCol w:w="1872"/>
        <w:gridCol w:w="2160"/>
      </w:tblGrid>
      <w:tr>
        <w:trPr>
          <w:cantSplit/>
        </w:trPr>
        <w:tc>
          <w:tcPr>
            <w:shd w:fill="006DB6" w:val="clear"/>
            <w:tcW w:w="2736" w:type="dxa"/>
          </w:tcPr>
          <w:p>
            <w:pPr>
              <w:spacing w:before="60" w:after="60"/>
            </w:pPr>
            <w:r>
              <w:rPr>
                <w:rFonts w:ascii="Open Sans" w:hAnsi="Open Sans"/>
                <w:b/>
                <w:color w:val="FFFFFF"/>
                <w:sz w:val="20"/>
              </w:rPr>
              <w:t>Feature</w:t>
            </w:r>
          </w:p>
        </w:tc>
        <w:tc>
          <w:tcPr>
            <w:shd w:fill="006DB6" w:val="clear"/>
            <w:tcW w:w="1584" w:type="dxa"/>
          </w:tcPr>
          <w:p>
            <w:pPr>
              <w:spacing w:before="60" w:after="60"/>
            </w:pPr>
            <w:r>
              <w:rPr>
                <w:rFonts w:ascii="Open Sans" w:hAnsi="Open Sans"/>
                <w:b/>
                <w:color w:val="FFFFFF"/>
                <w:sz w:val="20"/>
              </w:rPr>
              <w:t>Current</w:t>
            </w:r>
          </w:p>
        </w:tc>
        <w:tc>
          <w:tcPr>
            <w:shd w:fill="006DB6" w:val="clear"/>
            <w:tcW w:w="1872" w:type="dxa"/>
          </w:tcPr>
          <w:p>
            <w:pPr>
              <w:spacing w:before="60" w:after="60"/>
            </w:pPr>
            <w:r>
              <w:rPr>
                <w:rFonts w:ascii="Open Sans" w:hAnsi="Open Sans"/>
                <w:b/>
                <w:color w:val="FFFFFF"/>
                <w:sz w:val="20"/>
              </w:rPr>
              <w:t>Option A</w:t>
            </w:r>
          </w:p>
        </w:tc>
        <w:tc>
          <w:tcPr>
            <w:shd w:fill="006DB6" w:val="clear"/>
            <w:tcW w:w="1872" w:type="dxa"/>
          </w:tcPr>
          <w:p>
            <w:pPr>
              <w:spacing w:before="60" w:after="60"/>
            </w:pPr>
            <w:r>
              <w:rPr>
                <w:rFonts w:ascii="Open Sans" w:hAnsi="Open Sans"/>
                <w:b/>
                <w:color w:val="FFFFFF"/>
                <w:sz w:val="20"/>
              </w:rPr>
              <w:t>Option B</w:t>
            </w:r>
          </w:p>
        </w:tc>
        <w:tc>
          <w:tcPr>
            <w:shd w:fill="006DB6" w:val="clear"/>
            <w:tcW w:w="2160" w:type="dxa"/>
          </w:tcPr>
          <w:p>
            <w:pPr>
              <w:spacing w:before="60" w:after="60"/>
            </w:pPr>
            <w:r>
              <w:rPr>
                <w:rFonts w:ascii="Open Sans" w:hAnsi="Open Sans"/>
                <w:b/>
                <w:color w:val="FFFFFF"/>
                <w:sz w:val="20"/>
              </w:rPr>
              <w:t>Option C</w:t>
            </w:r>
          </w:p>
        </w:tc>
      </w:tr>
      <w:tr>
        <w:trPr>
          <w:cantSplit/>
        </w:trPr>
        <w:tc>
          <w:tcPr>
            <w:shd w:fill="F8F9FA" w:val="clear"/>
            <w:tcW w:w="2736" w:type="dxa"/>
          </w:tcPr>
          <w:p>
            <w:pPr>
              <w:spacing w:before="40" w:after="40"/>
            </w:pPr>
            <w:r>
              <w:rPr>
                <w:rFonts w:ascii="Open Sans" w:hAnsi="Open Sans"/>
                <w:b/>
                <w:color w:val="1A1A2E"/>
                <w:sz w:val="20"/>
              </w:rPr>
              <w:t>Processor cores</w:t>
            </w:r>
          </w:p>
        </w:tc>
        <w:tc>
          <w:tcPr>
            <w:tcW w:w="1584" w:type="dxa"/>
          </w:tcPr>
          <w:p>
            <w:pPr>
              <w:spacing w:before="40" w:after="40"/>
            </w:pPr>
            <w:r>
              <w:rPr>
                <w:rFonts w:ascii="Open Sans" w:hAnsi="Open Sans"/>
                <w:b w:val="0"/>
                <w:color w:val="1A1A2E"/>
                <w:sz w:val="20"/>
              </w:rPr>
              <w:t>4</w:t>
            </w:r>
          </w:p>
        </w:tc>
        <w:tc>
          <w:tcPr>
            <w:tcW w:w="1872" w:type="dxa"/>
          </w:tcPr>
          <w:p>
            <w:pPr>
              <w:spacing w:before="40" w:after="40"/>
            </w:pPr>
            <w:r>
              <w:rPr>
                <w:rFonts w:ascii="Open Sans" w:hAnsi="Open Sans"/>
                <w:b w:val="0"/>
                <w:color w:val="1A1A2E"/>
                <w:sz w:val="20"/>
              </w:rPr>
              <w:t>4</w:t>
            </w:r>
          </w:p>
        </w:tc>
        <w:tc>
          <w:tcPr>
            <w:tcW w:w="1872" w:type="dxa"/>
          </w:tcPr>
          <w:p>
            <w:pPr>
              <w:spacing w:before="40" w:after="40"/>
            </w:pPr>
            <w:r>
              <w:rPr>
                <w:rFonts w:ascii="Open Sans" w:hAnsi="Open Sans"/>
                <w:b w:val="0"/>
                <w:color w:val="1A1A2E"/>
                <w:sz w:val="20"/>
              </w:rPr>
              <w:t>8</w:t>
            </w:r>
          </w:p>
        </w:tc>
        <w:tc>
          <w:tcPr>
            <w:tcW w:w="2160" w:type="dxa"/>
          </w:tcPr>
          <w:p>
            <w:pPr>
              <w:spacing w:before="40" w:after="40"/>
            </w:pPr>
            <w:r>
              <w:rPr>
                <w:rFonts w:ascii="Open Sans" w:hAnsi="Open Sans"/>
                <w:b w:val="0"/>
                <w:color w:val="1A1A2E"/>
                <w:sz w:val="20"/>
              </w:rPr>
              <w:t>8</w:t>
            </w:r>
          </w:p>
        </w:tc>
      </w:tr>
      <w:tr>
        <w:trPr>
          <w:cantSplit/>
        </w:trPr>
        <w:tc>
          <w:tcPr>
            <w:shd w:fill="F8F9FA" w:val="clear"/>
            <w:tcW w:w="2736" w:type="dxa"/>
          </w:tcPr>
          <w:p>
            <w:pPr>
              <w:spacing w:before="40" w:after="40"/>
            </w:pPr>
            <w:r>
              <w:rPr>
                <w:rFonts w:ascii="Open Sans" w:hAnsi="Open Sans"/>
                <w:b/>
                <w:color w:val="1A1A2E"/>
                <w:sz w:val="20"/>
              </w:rPr>
              <w:t>Memory</w:t>
            </w:r>
          </w:p>
        </w:tc>
        <w:tc>
          <w:tcPr>
            <w:tcW w:w="1584" w:type="dxa"/>
          </w:tcPr>
          <w:p>
            <w:pPr>
              <w:spacing w:before="40" w:after="40"/>
            </w:pPr>
            <w:r>
              <w:rPr>
                <w:rFonts w:ascii="Open Sans" w:hAnsi="Open Sans"/>
                <w:b w:val="0"/>
                <w:color w:val="1A1A2E"/>
                <w:sz w:val="20"/>
              </w:rPr>
              <w:t>14 GB</w:t>
            </w:r>
          </w:p>
        </w:tc>
        <w:tc>
          <w:tcPr>
            <w:tcW w:w="1872" w:type="dxa"/>
          </w:tcPr>
          <w:p>
            <w:pPr>
              <w:spacing w:before="40" w:after="40"/>
            </w:pPr>
            <w:r>
              <w:rPr>
                <w:rFonts w:ascii="Open Sans" w:hAnsi="Open Sans"/>
                <w:b w:val="0"/>
                <w:color w:val="1A1A2E"/>
                <w:sz w:val="20"/>
              </w:rPr>
              <w:t>32 GB</w:t>
            </w:r>
          </w:p>
        </w:tc>
        <w:tc>
          <w:tcPr>
            <w:tcW w:w="1872" w:type="dxa"/>
          </w:tcPr>
          <w:p>
            <w:pPr>
              <w:spacing w:before="40" w:after="40"/>
            </w:pPr>
            <w:r>
              <w:rPr>
                <w:rFonts w:ascii="Open Sans" w:hAnsi="Open Sans"/>
                <w:b w:val="0"/>
                <w:color w:val="1A1A2E"/>
                <w:sz w:val="20"/>
              </w:rPr>
              <w:t>64 GB</w:t>
            </w:r>
          </w:p>
        </w:tc>
        <w:tc>
          <w:tcPr>
            <w:tcW w:w="2160" w:type="dxa"/>
          </w:tcPr>
          <w:p>
            <w:pPr>
              <w:spacing w:before="40" w:after="40"/>
            </w:pPr>
            <w:r>
              <w:rPr>
                <w:rFonts w:ascii="Open Sans" w:hAnsi="Open Sans"/>
                <w:b w:val="0"/>
                <w:color w:val="1A1A2E"/>
                <w:sz w:val="20"/>
              </w:rPr>
              <w:t>64 GB DDR5</w:t>
            </w:r>
          </w:p>
        </w:tc>
      </w:tr>
      <w:tr>
        <w:trPr>
          <w:cantSplit/>
        </w:trPr>
        <w:tc>
          <w:tcPr>
            <w:shd w:fill="F8F9FA" w:val="clear"/>
            <w:tcW w:w="2736" w:type="dxa"/>
          </w:tcPr>
          <w:p>
            <w:pPr>
              <w:spacing w:before="40" w:after="40"/>
            </w:pPr>
            <w:r>
              <w:rPr>
                <w:rFonts w:ascii="Open Sans" w:hAnsi="Open Sans"/>
                <w:b/>
                <w:color w:val="1A1A2E"/>
                <w:sz w:val="20"/>
              </w:rPr>
              <w:t>Usable storage</w:t>
            </w:r>
          </w:p>
        </w:tc>
        <w:tc>
          <w:tcPr>
            <w:tcW w:w="1584" w:type="dxa"/>
          </w:tcPr>
          <w:p>
            <w:pPr>
              <w:spacing w:before="40" w:after="40"/>
            </w:pPr>
            <w:r>
              <w:rPr>
                <w:rFonts w:ascii="Open Sans" w:hAnsi="Open Sans"/>
                <w:b w:val="0"/>
                <w:color w:val="1A1A2E"/>
                <w:sz w:val="20"/>
              </w:rPr>
              <w:t>~900 GB</w:t>
            </w:r>
          </w:p>
        </w:tc>
        <w:tc>
          <w:tcPr>
            <w:tcW w:w="1872" w:type="dxa"/>
          </w:tcPr>
          <w:p>
            <w:pPr>
              <w:spacing w:before="40" w:after="40"/>
            </w:pPr>
            <w:r>
              <w:rPr>
                <w:rFonts w:ascii="Open Sans" w:hAnsi="Open Sans"/>
                <w:b w:val="0"/>
                <w:color w:val="1A1A2E"/>
                <w:sz w:val="20"/>
              </w:rPr>
              <w:t>~2 TB</w:t>
            </w:r>
          </w:p>
        </w:tc>
        <w:tc>
          <w:tcPr>
            <w:tcW w:w="1872" w:type="dxa"/>
          </w:tcPr>
          <w:p>
            <w:pPr>
              <w:spacing w:before="40" w:after="40"/>
            </w:pPr>
            <w:r>
              <w:rPr>
                <w:rFonts w:ascii="Open Sans" w:hAnsi="Open Sans"/>
                <w:b w:val="0"/>
                <w:color w:val="1A1A2E"/>
                <w:sz w:val="20"/>
              </w:rPr>
              <w:t>~4 TB</w:t>
            </w:r>
          </w:p>
        </w:tc>
        <w:tc>
          <w:tcPr>
            <w:tcW w:w="2160" w:type="dxa"/>
          </w:tcPr>
          <w:p>
            <w:pPr>
              <w:spacing w:before="40" w:after="40"/>
            </w:pPr>
            <w:r>
              <w:rPr>
                <w:rFonts w:ascii="Open Sans" w:hAnsi="Open Sans"/>
                <w:b w:val="0"/>
                <w:color w:val="1A1A2E"/>
                <w:sz w:val="20"/>
              </w:rPr>
              <w:t>~4 TB</w:t>
            </w:r>
          </w:p>
        </w:tc>
      </w:tr>
      <w:tr>
        <w:trPr>
          <w:cantSplit/>
        </w:trPr>
        <w:tc>
          <w:tcPr>
            <w:shd w:fill="F8F9FA" w:val="clear"/>
            <w:tcW w:w="2736" w:type="dxa"/>
          </w:tcPr>
          <w:p>
            <w:pPr>
              <w:spacing w:before="40" w:after="40"/>
            </w:pPr>
            <w:r>
              <w:rPr>
                <w:rFonts w:ascii="Open Sans" w:hAnsi="Open Sans"/>
                <w:b/>
                <w:color w:val="1A1A2E"/>
                <w:sz w:val="20"/>
              </w:rPr>
              <w:t>Redundant power</w:t>
            </w:r>
          </w:p>
        </w:tc>
        <w:tc>
          <w:tcPr>
            <w:tcW w:w="1584" w:type="dxa"/>
          </w:tcPr>
          <w:p>
            <w:pPr>
              <w:spacing w:before="40" w:after="40"/>
            </w:pPr>
            <w:r>
              <w:rPr>
                <w:rFonts w:ascii="Open Sans" w:hAnsi="Open Sans"/>
                <w:b w:val="0"/>
                <w:color w:val="1A1A2E"/>
                <w:sz w:val="20"/>
              </w:rPr>
              <w:t>No</w:t>
            </w:r>
          </w:p>
        </w:tc>
        <w:tc>
          <w:tcPr>
            <w:tcW w:w="1872" w:type="dxa"/>
          </w:tcPr>
          <w:p>
            <w:pPr>
              <w:spacing w:before="40" w:after="40"/>
            </w:pPr>
            <w:r>
              <w:rPr>
                <w:rFonts w:ascii="Open Sans" w:hAnsi="Open Sans"/>
                <w:b w:val="0"/>
                <w:color w:val="1A1A2E"/>
                <w:sz w:val="20"/>
              </w:rPr>
              <w:t>No</w:t>
            </w:r>
          </w:p>
        </w:tc>
        <w:tc>
          <w:tcPr>
            <w:tcW w:w="1872" w:type="dxa"/>
          </w:tcPr>
          <w:p>
            <w:pPr>
              <w:spacing w:before="40" w:after="40"/>
            </w:pPr>
            <w:r>
              <w:rPr>
                <w:rFonts w:ascii="Open Sans" w:hAnsi="Open Sans"/>
                <w:b w:val="0"/>
                <w:color w:val="1A1A2E"/>
                <w:sz w:val="20"/>
              </w:rPr>
              <w:t>Yes</w:t>
            </w:r>
          </w:p>
        </w:tc>
        <w:tc>
          <w:tcPr>
            <w:tcW w:w="2160" w:type="dxa"/>
          </w:tcPr>
          <w:p>
            <w:pPr>
              <w:spacing w:before="40" w:after="40"/>
            </w:pPr>
            <w:r>
              <w:rPr>
                <w:rFonts w:ascii="Open Sans" w:hAnsi="Open Sans"/>
                <w:b w:val="0"/>
                <w:color w:val="1A1A2E"/>
                <w:sz w:val="20"/>
              </w:rPr>
              <w:t>Yes</w:t>
            </w:r>
          </w:p>
        </w:tc>
      </w:tr>
      <w:tr>
        <w:trPr>
          <w:cantSplit/>
        </w:trPr>
        <w:tc>
          <w:tcPr>
            <w:shd w:fill="F8F9FA" w:val="clear"/>
            <w:tcW w:w="2736" w:type="dxa"/>
          </w:tcPr>
          <w:p>
            <w:pPr>
              <w:spacing w:before="40" w:after="40"/>
            </w:pPr>
            <w:r>
              <w:rPr>
                <w:rFonts w:ascii="Open Sans" w:hAnsi="Open Sans"/>
                <w:b/>
                <w:color w:val="1A1A2E"/>
                <w:sz w:val="20"/>
              </w:rPr>
              <w:t>Under manufacturer warranty</w:t>
            </w:r>
          </w:p>
        </w:tc>
        <w:tc>
          <w:tcPr>
            <w:tcW w:w="1584" w:type="dxa"/>
          </w:tcPr>
          <w:p>
            <w:pPr>
              <w:spacing w:before="40" w:after="40"/>
            </w:pPr>
            <w:r>
              <w:rPr>
                <w:rFonts w:ascii="Open Sans" w:hAnsi="Open Sans"/>
                <w:b w:val="0"/>
                <w:color w:val="1A1A2E"/>
                <w:sz w:val="20"/>
              </w:rPr>
              <w:t>No</w:t>
            </w:r>
          </w:p>
        </w:tc>
        <w:tc>
          <w:tcPr>
            <w:tcW w:w="1872" w:type="dxa"/>
          </w:tcPr>
          <w:p>
            <w:pPr>
              <w:spacing w:before="40" w:after="40"/>
            </w:pPr>
            <w:r>
              <w:rPr>
                <w:rFonts w:ascii="Open Sans" w:hAnsi="Open Sans"/>
                <w:b w:val="0"/>
                <w:color w:val="1A1A2E"/>
                <w:sz w:val="20"/>
              </w:rPr>
              <w:t>Yes</w:t>
            </w:r>
          </w:p>
        </w:tc>
        <w:tc>
          <w:tcPr>
            <w:tcW w:w="1872" w:type="dxa"/>
          </w:tcPr>
          <w:p>
            <w:pPr>
              <w:spacing w:before="40" w:after="40"/>
            </w:pPr>
            <w:r>
              <w:rPr>
                <w:rFonts w:ascii="Open Sans" w:hAnsi="Open Sans"/>
                <w:b w:val="0"/>
                <w:color w:val="1A1A2E"/>
                <w:sz w:val="20"/>
              </w:rPr>
              <w:t>Yes</w:t>
            </w:r>
          </w:p>
        </w:tc>
        <w:tc>
          <w:tcPr>
            <w:tcW w:w="2160" w:type="dxa"/>
          </w:tcPr>
          <w:p>
            <w:pPr>
              <w:spacing w:before="40" w:after="40"/>
            </w:pPr>
            <w:r>
              <w:rPr>
                <w:rFonts w:ascii="Open Sans" w:hAnsi="Open Sans"/>
                <w:b w:val="0"/>
                <w:color w:val="1A1A2E"/>
                <w:sz w:val="20"/>
              </w:rPr>
              <w:t>Yes</w:t>
            </w:r>
          </w:p>
        </w:tc>
      </w:tr>
    </w:tbl>
    <w:p/>
    <w:p>
      <w:pPr>
        <w:spacing w:before="240" w:after="120"/>
      </w:pPr>
      <w:r>
        <w:rPr>
          <w:rFonts w:ascii="Open Sans" w:hAnsi="Open Sans"/>
          <w:b/>
          <w:color w:val="F67D4B"/>
          <w:sz w:val="28"/>
        </w:rPr>
        <w:t>Our Recommendation</w:t>
      </w:r>
    </w:p>
    <w:p>
      <w:pPr>
        <w:spacing w:after="120"/>
      </w:pPr>
      <w:r>
        <w:rPr>
          <w:rFonts w:ascii="Open Sans" w:hAnsi="Open Sans"/>
          <w:b w:val="0"/>
          <w:color w:val="1A1A2E"/>
          <w:sz w:val="20"/>
        </w:rPr>
        <w:t>For Oaktree Law's workload profile, we recommend Option B (PowerEdge R350 Professional). It delivers double the processor cores, four-and-a-half times the memory, four times the protected storage, and — importantly — dual redundant power supplies so that a single power-supply failure never takes the firm offline. It is the right balance of performance, reliability, and investment.</w:t>
      </w:r>
    </w:p>
    <w:p>
      <w:pPr>
        <w:spacing w:before="240" w:after="120"/>
      </w:pPr>
      <w:r>
        <w:rPr>
          <w:rFonts w:ascii="Open Sans" w:hAnsi="Open Sans"/>
          <w:b/>
          <w:color w:val="006DB6"/>
          <w:sz w:val="28"/>
        </w:rPr>
        <w:t>What's Included With Every Option</w:t>
      </w:r>
    </w:p>
    <w:p>
      <w:pPr>
        <w:pStyle w:val="ListBullet"/>
        <w:spacing w:after="40"/>
      </w:pPr>
      <w:r>
        <w:rPr>
          <w:rFonts w:ascii="Open Sans" w:hAnsi="Open Sans"/>
          <w:b w:val="0"/>
          <w:color w:val="1A1A2E"/>
          <w:sz w:val="20"/>
        </w:rPr>
        <w:t>Dell factory warranty with 1-year Next-Business-Day ProSupport coverage</w:t>
      </w:r>
    </w:p>
    <w:p>
      <w:pPr>
        <w:pStyle w:val="ListBullet"/>
        <w:spacing w:after="40"/>
      </w:pPr>
      <w:r>
        <w:rPr>
          <w:rFonts w:ascii="Open Sans" w:hAnsi="Open Sans"/>
          <w:b w:val="0"/>
          <w:color w:val="1A1A2E"/>
          <w:sz w:val="20"/>
        </w:rPr>
        <w:t>Technijian procurement, pre-delivery inspection, and burn-in testing</w:t>
      </w:r>
    </w:p>
    <w:p>
      <w:pPr>
        <w:pStyle w:val="ListBullet"/>
        <w:spacing w:after="40"/>
      </w:pPr>
      <w:r>
        <w:rPr>
          <w:rFonts w:ascii="Open Sans" w:hAnsi="Open Sans"/>
          <w:b w:val="0"/>
          <w:color w:val="1A1A2E"/>
          <w:sz w:val="20"/>
        </w:rPr>
        <w:t>Full BIOS, firmware, and iDRAC configuration to Technijian standards</w:t>
      </w:r>
    </w:p>
    <w:p>
      <w:pPr>
        <w:pStyle w:val="ListBullet"/>
        <w:spacing w:after="40"/>
      </w:pPr>
      <w:r>
        <w:rPr>
          <w:rFonts w:ascii="Open Sans" w:hAnsi="Open Sans"/>
          <w:b w:val="0"/>
          <w:color w:val="1A1A2E"/>
          <w:sz w:val="20"/>
        </w:rPr>
        <w:t>Asset tagging, documentation, and addition to your managed-services inventory</w:t>
      </w:r>
    </w:p>
    <w:p>
      <w:pPr>
        <w:pStyle w:val="ListBullet"/>
        <w:spacing w:after="40"/>
      </w:pPr>
      <w:r>
        <w:rPr>
          <w:rFonts w:ascii="Open Sans" w:hAnsi="Open Sans"/>
          <w:b w:val="0"/>
          <w:color w:val="1A1A2E"/>
          <w:sz w:val="20"/>
        </w:rPr>
        <w:t>Ground freight and delivery to Oaktree Law's server room</w:t>
      </w:r>
    </w:p>
    <w:p>
      <w:pPr>
        <w:pStyle w:val="ListBullet"/>
        <w:spacing w:after="40"/>
      </w:pPr>
      <w:r>
        <w:rPr>
          <w:rFonts w:ascii="Open Sans" w:hAnsi="Open Sans"/>
          <w:b w:val="0"/>
          <w:color w:val="1A1A2E"/>
          <w:sz w:val="20"/>
        </w:rPr>
        <w:t>Coordination of warranty claims and advance-replacement parts for the full warranty term</w:t>
      </w:r>
    </w:p>
    <w:p>
      <w:pPr>
        <w:spacing w:before="240" w:after="120"/>
      </w:pPr>
      <w:r>
        <w:rPr>
          <w:rFonts w:ascii="Open Sans" w:hAnsi="Open Sans"/>
          <w:b/>
          <w:color w:val="006DB6"/>
          <w:sz w:val="28"/>
        </w:rPr>
        <w:t>Services Quoted Separately</w:t>
      </w:r>
    </w:p>
    <w:p>
      <w:pPr>
        <w:pStyle w:val="ListBullet"/>
        <w:spacing w:after="40"/>
      </w:pPr>
      <w:r>
        <w:rPr>
          <w:rFonts w:ascii="Open Sans" w:hAnsi="Open Sans"/>
          <w:b w:val="0"/>
          <w:color w:val="1A1A2E"/>
          <w:sz w:val="20"/>
        </w:rPr>
        <w:t>On-site installation, rack-and-stack, cabling, and physical cutover</w:t>
      </w:r>
    </w:p>
    <w:p>
      <w:pPr>
        <w:pStyle w:val="ListBullet"/>
        <w:spacing w:after="40"/>
      </w:pPr>
      <w:r>
        <w:rPr>
          <w:rFonts w:ascii="Open Sans" w:hAnsi="Open Sans"/>
          <w:b w:val="0"/>
          <w:color w:val="1A1A2E"/>
          <w:sz w:val="20"/>
        </w:rPr>
        <w:t>Data migration from the current server to the new hardware</w:t>
      </w:r>
    </w:p>
    <w:p>
      <w:pPr>
        <w:pStyle w:val="ListBullet"/>
        <w:spacing w:after="40"/>
      </w:pPr>
      <w:r>
        <w:rPr>
          <w:rFonts w:ascii="Open Sans" w:hAnsi="Open Sans"/>
          <w:b w:val="0"/>
          <w:color w:val="1A1A2E"/>
          <w:sz w:val="20"/>
        </w:rPr>
        <w:t>Operating system and hypervisor licensing (Windows Server, VMware, or equivalent)</w:t>
      </w:r>
    </w:p>
    <w:p>
      <w:pPr>
        <w:pStyle w:val="ListBullet"/>
        <w:spacing w:after="40"/>
      </w:pPr>
      <w:r>
        <w:rPr>
          <w:rFonts w:ascii="Open Sans" w:hAnsi="Open Sans"/>
          <w:b w:val="0"/>
          <w:color w:val="1A1A2E"/>
          <w:sz w:val="20"/>
        </w:rPr>
        <w:t>Any application re-installation or re-licensing required by the migration</w:t>
      </w:r>
    </w:p>
    <w:p>
      <w:pPr>
        <w:spacing w:before="240" w:after="120"/>
      </w:pPr>
      <w:r>
        <w:rPr>
          <w:rFonts w:ascii="Open Sans" w:hAnsi="Open Sans"/>
          <w:b/>
          <w:color w:val="006DB6"/>
          <w:sz w:val="28"/>
        </w:rPr>
        <w:t>Proposal Terms</w:t>
      </w:r>
    </w:p>
    <w:tbl>
      <w:tblP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Layout w:type="fixed"/>
        <w:tblW w:w="10224" w:type="dxa"/>
      </w:tblPr>
      <w:tblGrid>
        <w:gridCol w:w="3168"/>
        <w:gridCol w:w="7056"/>
      </w:tblGrid>
      <w:tr>
        <w:trPr>
          <w:cantSplit/>
        </w:trPr>
        <w:tc>
          <w:tcPr>
            <w:shd w:fill="F8F9FA" w:val="clear"/>
            <w:tcW w:w="3168" w:type="dxa"/>
          </w:tcPr>
          <w:p>
            <w:pPr>
              <w:spacing w:before="60" w:after="60"/>
            </w:pPr>
            <w:r>
              <w:rPr>
                <w:rFonts w:ascii="Open Sans" w:hAnsi="Open Sans"/>
                <w:b/>
                <w:color w:val="1A1A2E"/>
                <w:sz w:val="20"/>
              </w:rPr>
              <w:t>Delivery Lead Time</w:t>
            </w:r>
          </w:p>
        </w:tc>
        <w:tc>
          <w:tcPr>
            <w:tcW w:w="7056" w:type="dxa"/>
          </w:tcPr>
          <w:p>
            <w:pPr>
              <w:spacing w:before="60" w:after="60"/>
            </w:pPr>
            <w:r>
              <w:rPr>
                <w:rFonts w:ascii="Open Sans" w:hAnsi="Open Sans"/>
                <w:b w:val="0"/>
                <w:color w:val="1A1A2E"/>
                <w:sz w:val="20"/>
              </w:rPr>
              <w:t>5 to 10 business days from purchase order</w:t>
            </w:r>
          </w:p>
        </w:tc>
      </w:tr>
      <w:tr>
        <w:trPr>
          <w:cantSplit/>
        </w:trPr>
        <w:tc>
          <w:tcPr>
            <w:shd w:fill="F8F9FA" w:val="clear"/>
            <w:tcW w:w="3168" w:type="dxa"/>
          </w:tcPr>
          <w:p>
            <w:pPr>
              <w:spacing w:before="60" w:after="60"/>
            </w:pPr>
            <w:r>
              <w:rPr>
                <w:rFonts w:ascii="Open Sans" w:hAnsi="Open Sans"/>
                <w:b/>
                <w:color w:val="1A1A2E"/>
                <w:sz w:val="20"/>
              </w:rPr>
              <w:t>Freight</w:t>
            </w:r>
          </w:p>
        </w:tc>
        <w:tc>
          <w:tcPr>
            <w:tcW w:w="7056" w:type="dxa"/>
          </w:tcPr>
          <w:p>
            <w:pPr>
              <w:spacing w:before="60" w:after="60"/>
            </w:pPr>
            <w:r>
              <w:rPr>
                <w:rFonts w:ascii="Open Sans" w:hAnsi="Open Sans"/>
                <w:b w:val="0"/>
                <w:color w:val="1A1A2E"/>
                <w:sz w:val="20"/>
              </w:rPr>
              <w:t>Standard ground freight included; expedite available on request</w:t>
            </w:r>
          </w:p>
        </w:tc>
      </w:tr>
      <w:tr>
        <w:trPr>
          <w:cantSplit/>
        </w:trPr>
        <w:tc>
          <w:tcPr>
            <w:shd w:fill="F8F9FA" w:val="clear"/>
            <w:tcW w:w="3168" w:type="dxa"/>
          </w:tcPr>
          <w:p>
            <w:pPr>
              <w:spacing w:before="60" w:after="60"/>
            </w:pPr>
            <w:r>
              <w:rPr>
                <w:rFonts w:ascii="Open Sans" w:hAnsi="Open Sans"/>
                <w:b/>
                <w:color w:val="1A1A2E"/>
                <w:sz w:val="20"/>
              </w:rPr>
              <w:t>Payment Terms</w:t>
            </w:r>
          </w:p>
        </w:tc>
        <w:tc>
          <w:tcPr>
            <w:tcW w:w="7056" w:type="dxa"/>
          </w:tcPr>
          <w:p>
            <w:pPr>
              <w:spacing w:before="60" w:after="60"/>
            </w:pPr>
            <w:r>
              <w:rPr>
                <w:rFonts w:ascii="Open Sans" w:hAnsi="Open Sans"/>
                <w:b w:val="0"/>
                <w:color w:val="1A1A2E"/>
                <w:sz w:val="20"/>
              </w:rPr>
              <w:t>50% at purchase order, 50% on delivery</w:t>
            </w:r>
          </w:p>
        </w:tc>
      </w:tr>
      <w:tr>
        <w:trPr>
          <w:cantSplit/>
        </w:trPr>
        <w:tc>
          <w:tcPr>
            <w:shd w:fill="F8F9FA" w:val="clear"/>
            <w:tcW w:w="3168" w:type="dxa"/>
          </w:tcPr>
          <w:p>
            <w:pPr>
              <w:spacing w:before="60" w:after="60"/>
            </w:pPr>
            <w:r>
              <w:rPr>
                <w:rFonts w:ascii="Open Sans" w:hAnsi="Open Sans"/>
                <w:b/>
                <w:color w:val="1A1A2E"/>
                <w:sz w:val="20"/>
              </w:rPr>
              <w:t>Proposal Validity</w:t>
            </w:r>
          </w:p>
        </w:tc>
        <w:tc>
          <w:tcPr>
            <w:tcW w:w="7056" w:type="dxa"/>
          </w:tcPr>
          <w:p>
            <w:pPr>
              <w:spacing w:before="60" w:after="60"/>
            </w:pPr>
            <w:r>
              <w:rPr>
                <w:rFonts w:ascii="Open Sans" w:hAnsi="Open Sans"/>
                <w:b w:val="0"/>
                <w:color w:val="1A1A2E"/>
                <w:sz w:val="20"/>
              </w:rPr>
              <w:t>14 days from the date of this proposal</w:t>
            </w:r>
          </w:p>
        </w:tc>
      </w:tr>
      <w:tr>
        <w:trPr>
          <w:cantSplit/>
        </w:trPr>
        <w:tc>
          <w:tcPr>
            <w:shd w:fill="F8F9FA" w:val="clear"/>
            <w:tcW w:w="3168" w:type="dxa"/>
          </w:tcPr>
          <w:p>
            <w:pPr>
              <w:spacing w:before="60" w:after="60"/>
            </w:pPr>
            <w:r>
              <w:rPr>
                <w:rFonts w:ascii="Open Sans" w:hAnsi="Open Sans"/>
                <w:b/>
                <w:color w:val="1A1A2E"/>
                <w:sz w:val="20"/>
              </w:rPr>
              <w:t>Pricing Basis</w:t>
            </w:r>
          </w:p>
        </w:tc>
        <w:tc>
          <w:tcPr>
            <w:tcW w:w="7056" w:type="dxa"/>
          </w:tcPr>
          <w:p>
            <w:pPr>
              <w:spacing w:before="60" w:after="60"/>
            </w:pPr>
            <w:r>
              <w:rPr>
                <w:rFonts w:ascii="Open Sans" w:hAnsi="Open Sans"/>
                <w:b w:val="0"/>
                <w:color w:val="1A1A2E"/>
                <w:sz w:val="20"/>
              </w:rPr>
              <w:t>All pricing in US Dollars; taxes (if applicable) additional</w:t>
            </w:r>
          </w:p>
        </w:tc>
      </w:tr>
    </w:tbl>
    <w:p/>
    <w:p>
      <w:pPr>
        <w:spacing w:before="240" w:after="120"/>
      </w:pPr>
      <w:r>
        <w:rPr>
          <w:rFonts w:ascii="Open Sans" w:hAnsi="Open Sans"/>
          <w:b/>
          <w:color w:val="F67D4B"/>
          <w:sz w:val="28"/>
        </w:rPr>
        <w:t>Next Steps</w:t>
      </w:r>
    </w:p>
    <w:p>
      <w:pPr>
        <w:spacing w:after="120"/>
      </w:pPr>
      <w:r>
        <w:rPr>
          <w:rFonts w:ascii="Open Sans" w:hAnsi="Open Sans"/>
          <w:b w:val="0"/>
          <w:color w:val="1A1A2E"/>
          <w:sz w:val="20"/>
        </w:rPr>
        <w:t>To proceed, simply reply to this proposal with your selected option and Technijian will issue a purchase order, place the hardware on reserve, and schedule the installation window with your team. If you would like to discuss the options or customize a configuration, please use the booking link in Ravi Jain's email signature to find a time that works for you.</w:t>
      </w:r>
    </w:p>
    <w:p/>
    <w:p>
      <w:pPr>
        <w:spacing w:after="120"/>
      </w:pPr>
      <w:r>
        <w:rPr>
          <w:rFonts w:ascii="Open Sans" w:hAnsi="Open Sans"/>
          <w:b w:val="0"/>
          <w:color w:val="1A1A2E"/>
          <w:sz w:val="20"/>
        </w:rPr>
        <w:t>Respectfully submitted,</w:t>
      </w:r>
    </w:p>
    <w:p>
      <w:pPr>
        <w:spacing w:after="120"/>
      </w:pPr>
      <w:r>
        <w:rPr>
          <w:rFonts w:ascii="Open Sans" w:hAnsi="Open Sans"/>
          <w:b/>
          <w:color w:val="006DB6"/>
          <w:sz w:val="22"/>
        </w:rPr>
        <w:t>Ravi Jain</w:t>
      </w:r>
    </w:p>
    <w:p>
      <w:pPr>
        <w:spacing w:after="120"/>
      </w:pPr>
      <w:r>
        <w:rPr>
          <w:rFonts w:ascii="Open Sans" w:hAnsi="Open Sans"/>
          <w:b w:val="0"/>
          <w:color w:val="59595B"/>
          <w:sz w:val="20"/>
        </w:rPr>
        <w:t>Chief Executive Officer</w:t>
      </w:r>
    </w:p>
    <w:p>
      <w:pPr>
        <w:spacing w:after="120"/>
      </w:pPr>
      <w:r>
        <w:rPr>
          <w:rFonts w:ascii="Open Sans" w:hAnsi="Open Sans"/>
          <w:b w:val="0"/>
          <w:color w:val="59595B"/>
          <w:sz w:val="20"/>
        </w:rPr>
        <w:t>Technijian, Inc.  |  rjain@technijian.com</w:t>
      </w:r>
    </w:p>
    <w:p/>
    <w:tbl>
      <w:tblPr>
        <w:tblLook w:firstColumn="1" w:firstRow="1" w:lastColumn="0" w:lastRow="0" w:noHBand="0" w:noVBand="1" w:val="04A0"/>
        <w:tblLayout w:type="fixed"/>
        <w:tblW w:w="10224" w:type="dxa"/>
      </w:tblPr>
      <w:tblGrid>
        <w:gridCol w:w="10224"/>
      </w:tblGrid>
      <w:tr>
        <w:trPr>
          <w:cantSplit/>
        </w:trPr>
        <w:tc>
          <w:tcPr>
            <w:shd w:fill="F8F9FA" w:val="clear"/>
            <w:tcW w:w="10224" w:type="dxa"/>
          </w:tcPr>
          <w:p>
            <w:pPr>
              <w:spacing w:before="160" w:after="160"/>
            </w:pPr>
            <w:r>
              <w:rPr>
                <w:rFonts w:ascii="Open Sans" w:hAnsi="Open Sans"/>
                <w:b w:val="0"/>
                <w:color w:val="59595B"/>
                <w:sz w:val="18"/>
              </w:rPr>
              <w:t>Technijian, Inc.  |  18 Technology Drive, Suite 141, Irvine, CA 92618  |  technijian.com  |  This proposal is confidential and prepared exclusively for Oaktree Law.</w:t>
            </w:r>
          </w:p>
        </w:tc>
      </w:tr>
    </w:tbl>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