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fill="006DB6" w:val="clear"/>
          </w:tcPr>
          <w:p>
            <w:pPr>
              <w:spacing w:before="0" w:after="0" w:line="120"/>
            </w:pPr>
            <w:r/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3240"/>
          </w:tcPr>
          <w:p>
            <w:pPr>
              <w:spacing w:before="0" w:after="0"/>
            </w:pPr>
            <w:r/>
          </w:p>
        </w:tc>
        <w:tc>
          <w:tcPr>
            <w:tcW w:type="dxa" w:w="3600"/>
            <w:shd w:fill="F67D4B" w:val="clear"/>
          </w:tcPr>
          <w:p>
            <w:pPr>
              <w:spacing w:before="0" w:after="0"/>
            </w:pPr>
            <w:r/>
          </w:p>
        </w:tc>
        <w:tc>
          <w:tcPr>
            <w:tcW w:type="dxa" w:w="3240"/>
          </w:tcPr>
          <w:p>
            <w:pPr>
              <w:spacing w:before="0" w:after="0"/>
            </w:pPr>
            <w:r/>
          </w:p>
        </w:tc>
      </w:tr>
    </w:tbl>
    <w:p>
      <w:pPr>
        <w:spacing w:before="400"/>
        <w:jc w:val="center"/>
      </w:pPr>
      <w:r>
        <w:rPr>
          <w:rFonts w:ascii="Open Sans" w:hAnsi="Open Sans"/>
          <w:b/>
          <w:i w:val="0"/>
          <w:color w:val="1A1A2E"/>
          <w:sz w:val="48"/>
        </w:rPr>
        <w:t>Statement of Work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6"/>
        </w:rPr>
        <w:t>Server Migration &amp; Cloud Hosting</w:t>
        <w:br/>
        <w:t>SOW-OKL-001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 xml:space="preserve">Prepared for </w:t>
      </w:r>
      <w:r>
        <w:rPr>
          <w:rFonts w:ascii="Open Sans" w:hAnsi="Open Sans"/>
          <w:b/>
          <w:i w:val="0"/>
          <w:color w:val="006DB6"/>
          <w:sz w:val="24"/>
        </w:rPr>
        <w:t>Oaktree Law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0"/>
        </w:rPr>
        <w:t>March 23, 2026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fill="F67D4B" w:val="clear"/>
          </w:tcPr>
          <w:p>
            <w:pPr>
              <w:spacing w:before="0" w:after="0" w:line="120"/>
            </w:pPr>
            <w:r/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6"/>
        </w:rPr>
        <w:t>CONFIDENTIAL — For authorized use only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16"/>
        </w:rPr>
        <w:t>Technijian, Inc.  |  18 Technology Dr., Ste 141, Irvine, CA 92618  |  949.379.8499  |  technijian.com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fill="006DB6" w:val="clear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FFFFFF"/>
                <w:sz w:val="24"/>
              </w:rPr>
              <w:t>STATEMENT OF WORK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SOW Number: SOW-OKL-001</w:t>
      </w:r>
    </w:p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Effective Date: March 23, 2026</w:t>
      </w:r>
    </w:p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Master Service Agreement: MSA-OKL-2026</w:t>
      </w:r>
    </w:p>
    <w:p>
      <w:pPr>
        <w:spacing w:after="80"/>
      </w:pPr>
    </w:p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This Statement of Work (“SOW”) is entered into by and between: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Technijian, Inc. (“Technijian”)</w:t>
      </w:r>
      <w:r>
        <w:rPr>
          <w:rFonts w:ascii="Open Sans" w:hAnsi="Open Sans"/>
          <w:b w:val="0"/>
          <w:i w:val="0"/>
          <w:color w:val="59595B"/>
          <w:sz w:val="20"/>
        </w:rPr>
        <w:t xml:space="preserve"> — 18 Technology Drive, Suite 141, Irvine, California 92618</w:t>
      </w:r>
    </w:p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and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Oaktree Law (“Client”)</w:t>
      </w:r>
      <w:r>
        <w:rPr>
          <w:rFonts w:ascii="Open Sans" w:hAnsi="Open Sans"/>
          <w:b w:val="0"/>
          <w:i w:val="0"/>
          <w:color w:val="59595B"/>
          <w:sz w:val="20"/>
        </w:rPr>
        <w:t xml:space="preserve"> — Primary Contact: Ed Pits</w:t>
      </w:r>
    </w:p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1. PROJECT OVERVIEW</w:t>
            </w:r>
          </w:p>
        </w:tc>
      </w:tr>
    </w:tbl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1.1 Project Title: </w:t>
      </w:r>
      <w:r>
        <w:rPr>
          <w:rFonts w:ascii="Open Sans" w:hAnsi="Open Sans"/>
          <w:b w:val="0"/>
          <w:i w:val="0"/>
          <w:color w:val="59595B"/>
          <w:sz w:val="20"/>
        </w:rPr>
        <w:t>Physical Server Migration to Technijian Cloud with Cloudbrink ZTNA and OneDrive Migration</w:t>
      </w:r>
    </w:p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1.2 Project Description: Oaktree Law currently operates a physical on-premises server that requires migration to a cloud-hosted environment. This SOW covers: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Full migration of the existing physical server to Technijian’s private cloud datacenter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Deployment of a Cloudbrink Zero Trust Network Access (ZTNA) virtual appliance for secure user access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Migration of approximately 779 GB of shared folders to Microsoft OneDrive / SharePoint Online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Deployment of security and management agents (CrowdStrike, Huntress, Patch Management, My Remote)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Ongoing managed hosting, security, and support services</w:t>
      </w:r>
    </w:p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1.3 Current Environment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4680"/>
        <w:gridCol w:w="4680"/>
      </w:tblGrid>
      <w:tr>
        <w:tc>
          <w:tcPr>
            <w:tcW w:type="dxa" w:w="468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Component</w:t>
            </w:r>
          </w:p>
        </w:tc>
        <w:tc>
          <w:tcPr>
            <w:tcW w:type="dxa" w:w="468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Processor</w:t>
            </w:r>
          </w:p>
        </w:tc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Intel Xeon E3-1220 v5 @ 3.00 GHz (2 processors)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Memory</w:t>
            </w:r>
          </w:p>
        </w:tc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14.0 GB 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Local Drive (C:)</w:t>
            </w:r>
          </w:p>
        </w:tc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119 GB total / 3.33 GB free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Shared Storage (D:)</w:t>
            </w:r>
          </w:p>
        </w:tc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779 GB total / 60.7 GB free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Internet</w:t>
            </w:r>
          </w:p>
        </w:tc>
        <w:tc>
          <w:tcPr>
            <w:tcW w:type="dxa" w:w="468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500 / 500 Mbps symmetric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2. SCOPE OF WORK</w:t>
            </w:r>
          </w:p>
        </w:tc>
      </w:tr>
    </w:tbl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2.1 In Scope</w:t>
      </w:r>
      <w:r>
        <w:rPr>
          <w:rFonts w:ascii="Open Sans" w:hAnsi="Open Sans"/>
          <w:b w:val="0"/>
          <w:i w:val="0"/>
          <w:color w:val="59595B"/>
          <w:sz w:val="20"/>
        </w:rPr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Full discovery and assessment of the existing physical server environment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Provisioning of two (2) virtual machines in the Technijian datacenter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Physical-to-Virtual (P2V) migration of the existing server to VM1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Deployment and configuration of Cloudbrink ZTNA virtual appliance on VM2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Migration of shared folders (~779 GB) to Microsoft OneDrive / SharePoint Online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Installation of security agents: CrowdStrike, Huntress, Patch Management, My Remote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Deployment of Veeam backup for both virtual machines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End-to-end testing, validation, and go-live cutover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30-day post-migration support period</w:t>
      </w:r>
    </w:p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2.2 Out of Scope</w:t>
      </w:r>
      <w:r>
        <w:rPr>
          <w:rFonts w:ascii="Open Sans" w:hAnsi="Open Sans"/>
          <w:b w:val="0"/>
          <w:i w:val="0"/>
          <w:color w:val="59595B"/>
          <w:sz w:val="20"/>
        </w:rPr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Desktop/workstation support, upgrades, or reimaging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Email migration or Microsoft 365 tenant configuration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Line-of-business application reconfiguration beyond basic validation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Procurement of Microsoft 365 / OneDrive licenses (Client responsibility)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Physical decommissioning or disposal of the old server hardware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Cloudbrink per-user subscription licensing (billed separately by Cloudbrink)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Network equipment upgrades at Client’s office</w:t>
      </w:r>
    </w:p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2.3 Assumptions</w:t>
      </w:r>
      <w:r>
        <w:rPr>
          <w:rFonts w:ascii="Open Sans" w:hAnsi="Open Sans"/>
          <w:b w:val="0"/>
          <w:i w:val="0"/>
          <w:color w:val="59595B"/>
          <w:sz w:val="20"/>
        </w:rPr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Client will provide administrative credentials and access to the existing server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Client will ensure all critical data is backed up prior to migration start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Client’s 500/500 Mbps internet is sufficient for Cloudbrink performance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Client has or will procure Microsoft 365 licenses with OneDrive/SharePoint storage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Migration work will be performed during off-hours to minimize disruption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3. PROJECT PHASES</w:t>
            </w:r>
          </w:p>
        </w:tc>
      </w:tr>
    </w:tbl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1: Discovery &amp; Assessment. </w:t>
      </w:r>
      <w:r>
        <w:rPr>
          <w:rFonts w:ascii="Open Sans" w:hAnsi="Open Sans"/>
          <w:b w:val="0"/>
          <w:i w:val="0"/>
          <w:color w:val="59595B"/>
          <w:sz w:val="20"/>
        </w:rPr>
        <w:t>Comprehensive audit of the existing physical server including installed roles, services, applications, shared folder structure, permissions, and network configuration.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2: Cloud Environment Provisioning. </w:t>
      </w:r>
      <w:r>
        <w:rPr>
          <w:rFonts w:ascii="Open Sans" w:hAnsi="Open Sans"/>
          <w:b w:val="0"/>
          <w:i w:val="0"/>
          <w:color w:val="59595B"/>
          <w:sz w:val="20"/>
        </w:rPr>
        <w:t>Provision and configure the target environment in Technijian datacenter: two virtual machines, storage, networking, and firewall rules.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3: Physical-to-Virtual Server Migration. </w:t>
      </w:r>
      <w:r>
        <w:rPr>
          <w:rFonts w:ascii="Open Sans" w:hAnsi="Open Sans"/>
          <w:b w:val="0"/>
          <w:i w:val="0"/>
          <w:color w:val="59595B"/>
          <w:sz w:val="20"/>
        </w:rPr>
        <w:t>Migrate the server OS and applications (~119 GB local volume) to VM1 via P2V. Includes pre-migration backup, driver remediation, Windows activation, service validation, and network cutover.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4: Shared Folder Migration to OneDrive / SharePoint. </w:t>
      </w:r>
      <w:r>
        <w:rPr>
          <w:rFonts w:ascii="Open Sans" w:hAnsi="Open Sans"/>
          <w:b w:val="0"/>
          <w:i w:val="0"/>
          <w:color w:val="59595B"/>
          <w:sz w:val="20"/>
        </w:rPr>
        <w:t>Migrate ~718 GB of shared folder data to SharePoint Online / OneDrive for Business. Includes site architecture design, pre-migration file remediation, NTFS-to-SharePoint permission mapping, incremental migration runs, and per-workstation OneDrive sync client setup.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5: Cloudbrink ZTNA Deployment. </w:t>
      </w:r>
      <w:r>
        <w:rPr>
          <w:rFonts w:ascii="Open Sans" w:hAnsi="Open Sans"/>
          <w:b w:val="0"/>
          <w:i w:val="0"/>
          <w:color w:val="59595B"/>
          <w:sz w:val="20"/>
        </w:rPr>
        <w:t>Deploy Cloudbrink ZTNA virtual appliance on VM2. Includes tenant configuration, connector deployment, Microsoft Entra ID integration, application resource definitions, per-user ZTNA policies, split tunneling, and agent deployment.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6: Security &amp; Management Agent Deployment. </w:t>
      </w:r>
      <w:r>
        <w:rPr>
          <w:rFonts w:ascii="Open Sans" w:hAnsi="Open Sans"/>
          <w:b w:val="0"/>
          <w:i w:val="0"/>
          <w:color w:val="59595B"/>
          <w:sz w:val="20"/>
        </w:rPr>
        <w:t>Install and configure all security and management agents on both virtual machines.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7: Testing, Validation &amp; Go-Live. </w:t>
      </w:r>
      <w:r>
        <w:rPr>
          <w:rFonts w:ascii="Open Sans" w:hAnsi="Open Sans"/>
          <w:b w:val="0"/>
          <w:i w:val="0"/>
          <w:color w:val="59595B"/>
          <w:sz w:val="20"/>
        </w:rPr>
        <w:t>End-to-end testing of migrated server, OneDrive/SharePoint access, Cloudbrink ZTNA connectivity, and all security agents. Coordinated production cutover during a planned maintenance window.</w:t>
      </w: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 xml:space="preserve">Phase 8: Post-Migration Support (30 Days). </w:t>
      </w:r>
      <w:r>
        <w:rPr>
          <w:rFonts w:ascii="Open Sans" w:hAnsi="Open Sans"/>
          <w:b w:val="0"/>
          <w:i w:val="0"/>
          <w:color w:val="59595B"/>
          <w:sz w:val="20"/>
        </w:rPr>
        <w:t>30-day post-migration support period for issue resolution, performance tuning, and user assistance.</w:t>
      </w:r>
    </w:p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3.1 Phase Labor Breakdown</w:t>
            </w:r>
          </w:p>
        </w:tc>
      </w:tr>
    </w:tbl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1: Discovery &amp; Assessment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CTO Advisory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Migration strategy, architecture planning, risk assessment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Server audit, inventory, and documentation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1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2: Cloud Environment Provisioning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 provisioning and OS install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1–2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Network and storage configuration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1–2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Backup setup (Veeam)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2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3: Server Migration (P2V)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Pre-migration backup verification and snapshot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P2V conversion setup (Disk2VHD / Veeam)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2–3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Data transfer monitoring (~119 GB OS volume)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2–3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Driver cleanup, HAL remediation, VM tools install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Windows activation, licensing validation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Server role/service validation (AD, DNS, DHCP, file shares, print)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DNS/IP reconfiguration and network cutover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Performance validation and baseline comparison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4: OneDrive / SharePoint Migration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CTO Advisory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SharePoint site collection architecture and library design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SharePoint Migration Tool setup and configuration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Pre-migration file scan and remediation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Initial bulk migration kickoff (~718 GB)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3–4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Migration monitoring, failed item resolution, delta sync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NTFS-to-SharePoint permission mapping and validation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OneDrive sync client deployment on user workstations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4–5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User training session and quick-reference guide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Post-migration validation (file counts, integrity, access)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5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5: Cloudbrink ZTNA Deployment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CTO Advisory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ZTNA architecture, policy design, application resource planning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Cloudbrink tenant setup and connector deployment on VM2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Microsoft Entra ID identity provider integration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Split tunneling, routing, and performance tuning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Cloudbrink agent deployment to end-user devices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5–6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Multi-location access testing and troubleshooting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6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6: Security Agent Deployment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Agent installation and configuration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Validation and reporting verification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6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7: Testing &amp; Go-Live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CTO Advisory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Go-live coordination, cutover plan review, client sign-off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End-to-end functional testing (server, apps, shares)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Coordinated go-live cutover (DNS, firewall, routing)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6–7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Cloudbrink and OneDrive access validation with end users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7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Post-cutover monitoring (first 48 hours)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 7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Phase 8: Post-Migration Support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Hours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(US)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Escalated issue resolution and performance tuning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Weeks 7–11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 (Offshore)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Routine support tickets, monitoring, user assistance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$45/hr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Weeks 7–11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4. PRICING AND PAYMENT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4.1 Rate Card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Location</w:t>
            </w:r>
          </w:p>
        </w:tc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Rate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CTO Advisory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United States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$250.00/hr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United States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$150.00/hr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Tech Support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Offshore (India)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$45.00/hr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4.2 One-Time Migration Labor Summary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Phase</w:t>
            </w:r>
          </w:p>
        </w:tc>
        <w:tc>
          <w:tcPr>
            <w:tcW w:type="dxa" w:w="1337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1337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CTO ($250)</w:t>
            </w:r>
          </w:p>
        </w:tc>
        <w:tc>
          <w:tcPr>
            <w:tcW w:type="dxa" w:w="1337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US Tech ($150)</w:t>
            </w:r>
          </w:p>
        </w:tc>
        <w:tc>
          <w:tcPr>
            <w:tcW w:type="dxa" w:w="1337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Offshore ($45)</w:t>
            </w:r>
          </w:p>
        </w:tc>
        <w:tc>
          <w:tcPr>
            <w:tcW w:type="dxa" w:w="1337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Total Hrs</w:t>
            </w:r>
          </w:p>
        </w:tc>
        <w:tc>
          <w:tcPr>
            <w:tcW w:type="dxa" w:w="1337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Discovery &amp; Assessment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$800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Cloud Environment Provisioning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6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8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$990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Server Migration (P2V)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16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$1,980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OneDrive / SharePoint Migration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$2,450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5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Cloudbrink ZTNA Deployment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7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$1,685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6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Security Agent Deployment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$390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7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Testing &amp; Go-Live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5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$1,385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8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Post-Migration Support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6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8</w:t>
            </w:r>
          </w:p>
        </w:tc>
        <w:tc>
          <w:tcPr>
            <w:tcW w:type="dxa" w:w="1337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$570</w:t>
            </w:r>
          </w:p>
        </w:tc>
      </w:tr>
      <w:tr>
        <w:tc>
          <w:tcPr>
            <w:tcW w:type="dxa" w:w="1337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TOTAL</w:t>
            </w:r>
          </w:p>
        </w:tc>
        <w:tc>
          <w:tcPr>
            <w:tcW w:type="dxa" w:w="1337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337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8</w:t>
            </w:r>
          </w:p>
        </w:tc>
        <w:tc>
          <w:tcPr>
            <w:tcW w:type="dxa" w:w="1337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46</w:t>
            </w:r>
          </w:p>
        </w:tc>
        <w:tc>
          <w:tcPr>
            <w:tcW w:type="dxa" w:w="1337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30</w:t>
            </w:r>
          </w:p>
        </w:tc>
        <w:tc>
          <w:tcPr>
            <w:tcW w:type="dxa" w:w="1337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84</w:t>
            </w:r>
          </w:p>
        </w:tc>
        <w:tc>
          <w:tcPr>
            <w:tcW w:type="dxa" w:w="1337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$10,250</w:t>
            </w:r>
          </w:p>
        </w:tc>
      </w:tr>
    </w:tbl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Pricing Type: Estimate Cost — Actual time billed at the applicable rate. If hours are projected to exceed the estimate by more than 10%, Technijian will notify Client before proceeding.</w:t>
      </w:r>
    </w:p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4.3 Ongoing Monthly Services — Technijian Datacenter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Service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Code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Qty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Unit Price</w:t>
            </w:r>
          </w:p>
        </w:tc>
        <w:tc>
          <w:tcPr>
            <w:tcW w:type="dxa" w:w="1872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Monthly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VM1 — vCores (Primary Server)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CL-VC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$6.25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$25.00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VM1 — Memory (GB)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CL-GB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16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$0.63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$10.08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VM1 — Shared Bandwidth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CL-SBW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VM2 — vCores (Cloudbrink)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CL-VC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$6.25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$12.50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VM2 — Memory (GB)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CL-GB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$0.63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$2.52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VM2 — Shared Bandwidth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CL-SBW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Production Storage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TB-PSTR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 TB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$200.00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$200.00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Backup Storage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TB-BSTR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 TB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$50.00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$50.00</w:t>
            </w:r>
          </w:p>
        </w:tc>
      </w:tr>
      <w:tr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Infrastructure Subtotal</w:t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$330.10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Windows Server Std — 2-Core Pack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MS-STD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$5.25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$21.00</w:t>
            </w:r>
          </w:p>
        </w:tc>
      </w:tr>
      <w:tr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Licensing Subtotal</w:t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$21.00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CrowdStrike — Server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AVS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$10.50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$21.00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Huntress — Server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AVHS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$6.00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$12.00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Patch Management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PMW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$8.00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My Remote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MR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$4.00</w:t>
            </w:r>
          </w:p>
        </w:tc>
      </w:tr>
      <w:tr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Security Subtotal</w:t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$45.00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Image Backup (Veeam)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IB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$15.00</w:t>
            </w:r>
          </w:p>
        </w:tc>
        <w:tc>
          <w:tcPr>
            <w:tcW w:type="dxa" w:w="1872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$30.00</w:t>
            </w:r>
          </w:p>
        </w:tc>
      </w:tr>
      <w:tr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Backup Subtotal</w:t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$30.00</w:t>
            </w:r>
          </w:p>
        </w:tc>
      </w:tr>
      <w:tr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TECHNIJIAN TOTAL MONTHLY</w:t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$426.10</w:t>
            </w:r>
          </w:p>
        </w:tc>
      </w:tr>
      <w:tr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TECHNIJIAN TOTAL ANNUAL</w:t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1872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$5,113.20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4.4 Azure Equivalent Monthly Cost (For Comparison)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Service</w:t>
            </w:r>
          </w:p>
        </w:tc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Azure SKU</w:t>
            </w:r>
          </w:p>
        </w:tc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Monthly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VM1 — Primary Server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D4s v5 (4 vCPU, 16 GB) Windows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$281.00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VM2 — Cloudbrink Appliance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B2s (2 vCPU, 4 GB) Linux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$31.00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Managed Disk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 TB Premium SSD (P30)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$123.00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Azure Backup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Recovery Services Vault (1 TB)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$55.00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Outbound Data Transfer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~500 GB egress / month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$44.00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Static Public IP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 Standard Static IP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Windows Server License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Included in VM pricing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$0.00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CrowdStrike — Server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 servers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$21.00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Huntress — Server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 servers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$12.00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Patch Management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 servers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$8.00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My Remote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2 servers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$4.00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Azure Monitor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Basic monitoring &amp; alerts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$15.00</w:t>
            </w:r>
          </w:p>
        </w:tc>
      </w:tr>
      <w:tr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AZURE TOTAL MONTHLY</w:t>
            </w:r>
          </w:p>
        </w:tc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$598.00</w:t>
            </w:r>
          </w:p>
        </w:tc>
      </w:tr>
      <w:tr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AZURE TOTAL ANNUAL</w:t>
            </w:r>
          </w:p>
        </w:tc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$7,176.00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4.5 Cost Comparison Summary</w:t>
      </w:r>
      <w:r>
        <w:rPr>
          <w:rFonts w:ascii="Open Sans" w:hAnsi="Open Sans"/>
          <w:b w:val="0"/>
          <w:i w:val="0"/>
          <w:color w:val="59595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234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Technijian Datacenter</w:t>
            </w:r>
          </w:p>
        </w:tc>
        <w:tc>
          <w:tcPr>
            <w:tcW w:type="dxa" w:w="234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Microsoft Azure</w:t>
            </w:r>
          </w:p>
        </w:tc>
        <w:tc>
          <w:tcPr>
            <w:tcW w:type="dxa" w:w="234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Savings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Monthly Cost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$426.10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$598.00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$171.90 (28.7%)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Annual Cost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$5,113.20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$7,176.00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$2,062.80 (28.7%)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3-Year Cost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$15,339.60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$21,528.00</w:t>
            </w:r>
          </w:p>
        </w:tc>
        <w:tc>
          <w:tcPr>
            <w:tcW w:type="dxa" w:w="234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$6,188.40 (28.7%)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Technijian Datacenter Advantages:</w:t>
      </w:r>
      <w:r>
        <w:rPr>
          <w:rFonts w:ascii="Open Sans" w:hAnsi="Open Sans"/>
          <w:b w:val="0"/>
          <w:i w:val="0"/>
          <w:color w:val="59595B"/>
          <w:sz w:val="20"/>
        </w:rPr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28.7% lower monthly cost compared to Azure pay-as-you-go pricing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$2,062.80 annual savings on hosting alone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No egress / bandwidth charges — shared bandwidth included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No surprise Azure consumption charges — predictable, fixed monthly billing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Local Technijian support team manages infrastructure end-to-end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Single vendor for hosting, security, backup, and support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Included Veeam backup — enterprise-grade with faster recovery</w:t>
      </w:r>
    </w:p>
    <w:p>
      <w:pPr>
        <w:pStyle w:val="ListBullet"/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No Azure expertise required from Client</w:t>
      </w:r>
    </w:p>
    <w:p>
      <w:pPr>
        <w:spacing w:after="80"/>
      </w:pPr>
    </w:p>
    <w:p>
      <w:pPr>
        <w:spacing w:after="60"/>
      </w:pPr>
      <w:r>
        <w:rPr>
          <w:rFonts w:ascii="Open Sans" w:hAnsi="Open Sans"/>
          <w:b/>
          <w:i w:val="0"/>
          <w:color w:val="1A1A2E"/>
          <w:sz w:val="20"/>
        </w:rPr>
        <w:t>4.6 Payment Schedule</w:t>
      </w:r>
      <w:r>
        <w:rPr>
          <w:rFonts w:ascii="Open Sans" w:hAnsi="Open Sans"/>
          <w:b w:val="0"/>
          <w:i w:val="0"/>
          <w:color w:val="59595B"/>
          <w:sz w:val="20"/>
        </w:rPr>
      </w:r>
    </w:p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All invoices are due and payable within thirty (30) days of the invoice date.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9ECEF"/>
          <w:left w:val="single" w:sz="4" w:space="0" w:color="E9ECEF"/>
          <w:bottom w:val="single" w:sz="4" w:space="0" w:color="E9ECEF"/>
          <w:right w:val="single" w:sz="4" w:space="0" w:color="E9ECEF"/>
          <w:insideH w:val="single" w:sz="4" w:space="0" w:color="E9ECEF"/>
          <w:insideV w:val="single" w:sz="4" w:space="0" w:color="E9ECEF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Milestone</w:t>
            </w:r>
          </w:p>
        </w:tc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Invoiced</w:t>
            </w:r>
          </w:p>
        </w:tc>
        <w:tc>
          <w:tcPr>
            <w:tcW w:type="dxa" w:w="3120"/>
            <w:shd w:fill="006DB6" w:val="clear"/>
          </w:tcPr>
          <w:p>
            <w:r/>
            <w:r>
              <w:rPr>
                <w:rFonts w:ascii="Open Sans" w:hAnsi="Open Sans"/>
                <w:b/>
                <w:i w:val="0"/>
                <w:color w:val="FFFFFF"/>
                <w:sz w:val="18"/>
              </w:rPr>
              <w:t>Amount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Project kickoff (before Phase 1)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Upon SOW execution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$5,125.00 (50%)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Go-live completion (after Phase 7)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Upon go-live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$5,125.00 (50%)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Monthly managed services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1st of each month</w:t>
            </w:r>
          </w:p>
        </w:tc>
        <w:tc>
          <w:tcPr>
            <w:tcW w:type="dxa" w:w="3120"/>
          </w:tcPr>
          <w:p>
            <w:r/>
            <w:r>
              <w:rPr>
                <w:rFonts w:ascii="Open Sans" w:hAnsi="Open Sans"/>
                <w:b w:val="0"/>
                <w:i w:val="0"/>
                <w:color w:val="59595B"/>
                <w:sz w:val="18"/>
              </w:rPr>
              <w:t>$426.10/month</w:t>
            </w:r>
          </w:p>
        </w:tc>
      </w:tr>
      <w:tr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ONE-TIME PROJECT TOTAL</w:t>
            </w:r>
          </w:p>
        </w:tc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</w:r>
          </w:p>
        </w:tc>
        <w:tc>
          <w:tcPr>
            <w:tcW w:type="dxa" w:w="3120"/>
            <w:shd w:fill="F8F9FA" w:val="clear"/>
          </w:tcPr>
          <w:p>
            <w:r/>
            <w:r>
              <w:rPr>
                <w:rFonts w:ascii="Open Sans" w:hAnsi="Open Sans"/>
                <w:b/>
                <w:i w:val="0"/>
                <w:color w:val="1A1A2E"/>
                <w:sz w:val="18"/>
              </w:rPr>
              <w:t>$10,250.00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5. CLIENT RESPONSIBILITIES</w:t>
            </w:r>
          </w:p>
        </w:tc>
      </w:tr>
    </w:tbl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Client shall: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(a) </w:t>
      </w:r>
      <w:r>
        <w:rPr>
          <w:rFonts w:ascii="Open Sans" w:hAnsi="Open Sans"/>
          <w:b w:val="0"/>
          <w:i w:val="0"/>
          <w:color w:val="59595B"/>
          <w:sz w:val="20"/>
        </w:rPr>
        <w:t>Provide administrative credentials and physical/remote access to the existing server;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(b) </w:t>
      </w:r>
      <w:r>
        <w:rPr>
          <w:rFonts w:ascii="Open Sans" w:hAnsi="Open Sans"/>
          <w:b w:val="0"/>
          <w:i w:val="0"/>
          <w:color w:val="59595B"/>
          <w:sz w:val="20"/>
        </w:rPr>
        <w:t>Designate Ed Pits (or alternate) as the authorized point of contact;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(c) </w:t>
      </w:r>
      <w:r>
        <w:rPr>
          <w:rFonts w:ascii="Open Sans" w:hAnsi="Open Sans"/>
          <w:b w:val="0"/>
          <w:i w:val="0"/>
          <w:color w:val="59595B"/>
          <w:sz w:val="20"/>
        </w:rPr>
        <w:t>Review and approve deliverables within five (5) business days of submission;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(d) </w:t>
      </w:r>
      <w:r>
        <w:rPr>
          <w:rFonts w:ascii="Open Sans" w:hAnsi="Open Sans"/>
          <w:b w:val="0"/>
          <w:i w:val="0"/>
          <w:color w:val="59595B"/>
          <w:sz w:val="20"/>
        </w:rPr>
        <w:t>Ensure all critical data is backed up prior to migration start;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(e) </w:t>
      </w:r>
      <w:r>
        <w:rPr>
          <w:rFonts w:ascii="Open Sans" w:hAnsi="Open Sans"/>
          <w:b w:val="0"/>
          <w:i w:val="0"/>
          <w:color w:val="59595B"/>
          <w:sz w:val="20"/>
        </w:rPr>
        <w:t>Inform users of planned service changes, maintenance windows, and downtime;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(f) </w:t>
      </w:r>
      <w:r>
        <w:rPr>
          <w:rFonts w:ascii="Open Sans" w:hAnsi="Open Sans"/>
          <w:b w:val="0"/>
          <w:i w:val="0"/>
          <w:color w:val="59595B"/>
          <w:sz w:val="20"/>
        </w:rPr>
        <w:t>Procure and maintain Microsoft 365 licenses with adequate OneDrive/SharePoint storage (~779 GB); and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(g) </w:t>
      </w:r>
      <w:r>
        <w:rPr>
          <w:rFonts w:ascii="Open Sans" w:hAnsi="Open Sans"/>
          <w:b w:val="0"/>
          <w:i w:val="0"/>
          <w:color w:val="59595B"/>
          <w:sz w:val="20"/>
        </w:rPr>
        <w:t>Coordinate with Cloudbrink for per-user ZTNA subscription licensing.</w:t>
      </w:r>
    </w:p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6. CHANGE MANAGEMENT</w:t>
            </w:r>
          </w:p>
        </w:tc>
      </w:tr>
    </w:tbl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6.01. </w:t>
      </w:r>
      <w:r>
        <w:rPr>
          <w:rFonts w:ascii="Open Sans" w:hAnsi="Open Sans"/>
          <w:b w:val="0"/>
          <w:i w:val="0"/>
          <w:color w:val="59595B"/>
          <w:sz w:val="20"/>
        </w:rPr>
        <w:t>Any changes to the scope, schedule, or pricing of this SOW must be documented in a written Change Order signed by both Parties.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6.02. </w:t>
      </w:r>
      <w:r>
        <w:rPr>
          <w:rFonts w:ascii="Open Sans" w:hAnsi="Open Sans"/>
          <w:b w:val="0"/>
          <w:i w:val="0"/>
          <w:color w:val="59595B"/>
          <w:sz w:val="20"/>
        </w:rPr>
        <w:t>If Client requests out-of-scope work, Technijian shall provide a Change Order detailing the additional work, estimated hours, and cost impact.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6.03. </w:t>
      </w:r>
      <w:r>
        <w:rPr>
          <w:rFonts w:ascii="Open Sans" w:hAnsi="Open Sans"/>
          <w:b w:val="0"/>
          <w:i w:val="0"/>
          <w:color w:val="59595B"/>
          <w:sz w:val="20"/>
        </w:rPr>
        <w:t>Technijian shall not proceed with out-of-scope work without an approved Change Order, except where delay would harm Client’s systems.</w:t>
      </w:r>
    </w:p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7. ACCEPTANCE</w:t>
            </w:r>
          </w:p>
        </w:tc>
      </w:tr>
    </w:tbl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7.01. </w:t>
      </w:r>
      <w:r>
        <w:rPr>
          <w:rFonts w:ascii="Open Sans" w:hAnsi="Open Sans"/>
          <w:b w:val="0"/>
          <w:i w:val="0"/>
          <w:color w:val="59595B"/>
          <w:sz w:val="20"/>
        </w:rPr>
        <w:t>Upon completion of each phase, Technijian shall notify Client that deliverables are ready for review.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7.02. </w:t>
      </w:r>
      <w:r>
        <w:rPr>
          <w:rFonts w:ascii="Open Sans" w:hAnsi="Open Sans"/>
          <w:b w:val="0"/>
          <w:i w:val="0"/>
          <w:color w:val="59595B"/>
          <w:sz w:val="20"/>
        </w:rPr>
        <w:t>Client shall review and provide written acceptance or a description of deficiencies within five (5) business days.</w:t>
      </w:r>
    </w:p>
    <w:p>
      <w:pPr>
        <w:spacing w:after="60"/>
      </w:pPr>
      <w:r>
        <w:rPr>
          <w:rFonts w:ascii="Open Sans" w:hAnsi="Open Sans"/>
          <w:b/>
          <w:i w:val="0"/>
          <w:color w:val="006DB6"/>
          <w:sz w:val="20"/>
        </w:rPr>
        <w:t xml:space="preserve">7.03. </w:t>
      </w:r>
      <w:r>
        <w:rPr>
          <w:rFonts w:ascii="Open Sans" w:hAnsi="Open Sans"/>
          <w:b w:val="0"/>
          <w:i w:val="0"/>
          <w:color w:val="59595B"/>
          <w:sz w:val="20"/>
        </w:rPr>
        <w:t>If Client does not respond within the review period, deliverables shall be deemed accepted.</w:t>
      </w:r>
    </w:p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8. GOVERNING TERMS</w:t>
            </w:r>
          </w:p>
        </w:tc>
      </w:tr>
    </w:tbl>
    <w:p>
      <w:pPr>
        <w:spacing w:after="120"/>
      </w:pPr>
      <w:r>
        <w:rPr>
          <w:rFonts w:ascii="Open Sans" w:hAnsi="Open Sans"/>
          <w:b w:val="0"/>
          <w:i w:val="0"/>
          <w:color w:val="59595B"/>
          <w:sz w:val="20"/>
        </w:rPr>
        <w:t>The terms of the Master Service Agreement (MSA-OKL-2026) shall govern this SOW. In the event of a conflict between this SOW and the MSA, the MSA shall prevail unless this SOW expressly states otherwise.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115"/>
            <w:shd w:fill="006DB6" w:val="clear"/>
          </w:tcPr>
          <w:p>
            <w:pPr>
              <w:spacing w:before="0" w:after="0"/>
            </w:pPr>
            <w:r/>
          </w:p>
        </w:tc>
        <w:tc>
          <w:tcPr>
            <w:tcW w:type="dxa" w:w="4680"/>
          </w:tcPr>
          <w:p>
            <w:pPr>
              <w:spacing w:before="80" w:after="80"/>
            </w:pPr>
            <w:r/>
            <w:r>
              <w:rPr>
                <w:rFonts w:ascii="Open Sans" w:hAnsi="Open Sans"/>
                <w:b/>
                <w:i w:val="0"/>
                <w:color w:val="006DB6"/>
                <w:sz w:val="26"/>
              </w:rPr>
              <w:t>SIGNATURES</w:t>
            </w:r>
          </w:p>
        </w:tc>
      </w:tr>
    </w:tbl>
    <w:p>
      <w:pPr>
        <w:spacing w:after="160"/>
      </w:pPr>
    </w:p>
    <w:p>
      <w:r>
        <w:rPr>
          <w:rFonts w:ascii="Open Sans" w:hAnsi="Open Sans"/>
          <w:b/>
          <w:i w:val="0"/>
          <w:color w:val="1A1A2E"/>
          <w:sz w:val="22"/>
        </w:rPr>
        <w:t>TECHNIJIAN, INC.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By: ___________________________________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Name: _________________________________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Title: _________________________________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Date: _________________________________</w:t>
      </w:r>
    </w:p>
    <w:p>
      <w:pPr>
        <w:spacing w:after="240"/>
      </w:pPr>
    </w:p>
    <w:p>
      <w:r>
        <w:rPr>
          <w:rFonts w:ascii="Open Sans" w:hAnsi="Open Sans"/>
          <w:b/>
          <w:i w:val="0"/>
          <w:color w:val="1A1A2E"/>
          <w:sz w:val="22"/>
        </w:rPr>
        <w:t>OAKTREE LAW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By: ___________________________________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Name: Ed Pits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Title: _________________________________</w:t>
      </w:r>
    </w:p>
    <w:p>
      <w:pPr>
        <w:spacing w:after="40"/>
      </w:pPr>
      <w:r>
        <w:rPr>
          <w:rFonts w:ascii="Open Sans" w:hAnsi="Open Sans"/>
          <w:b w:val="0"/>
          <w:i w:val="0"/>
          <w:color w:val="59595B"/>
          <w:sz w:val="20"/>
        </w:rPr>
        <w:t>Date: _________________________________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fill="006DB6" w:val="clear"/>
          </w:tcPr>
          <w:p>
            <w:pPr>
              <w:spacing w:before="0" w:after="0" w:line="40"/>
            </w:pPr>
            <w:r/>
          </w:p>
        </w:tc>
      </w:tr>
    </w:tbl>
    <w:p>
      <w:pPr>
        <w:spacing w:before="120"/>
        <w:jc w:val="center"/>
      </w:pPr>
      <w:r>
        <w:rPr>
          <w:rFonts w:ascii="Open Sans" w:hAnsi="Open Sans"/>
          <w:b w:val="0"/>
          <w:i w:val="0"/>
          <w:color w:val="59595B"/>
          <w:sz w:val="16"/>
        </w:rPr>
        <w:t>Technijian, Inc.  |  18 Technology Dr., Ste 141, Irvine, CA 92618  |  949.379.8499  |  technijian.com</w:t>
      </w:r>
    </w:p>
    <w:sectPr w:rsidR="00FC693F" w:rsidRPr="0006063C" w:rsidSect="00034616">
      <w:pgSz w:w="12240" w:h="15840"/>
      <w:pgMar w:top="144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Open Sans" w:hAnsi="Open Sans"/>
      <w:color w:val="59595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